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1D854" w14:textId="3DAD19E6" w:rsidR="00565F90" w:rsidRPr="00565F90" w:rsidRDefault="00565F90" w:rsidP="005719A8">
      <w:pPr>
        <w:tabs>
          <w:tab w:val="right" w:pos="9638"/>
        </w:tabs>
        <w:rPr>
          <w:rFonts w:ascii="Arial" w:eastAsiaTheme="minorEastAsia" w:hAnsi="Arial" w:cs="Arial"/>
          <w:b/>
          <w:bCs/>
          <w:sz w:val="24"/>
          <w:lang w:eastAsia="zh-CN"/>
        </w:rPr>
      </w:pPr>
      <w:r>
        <w:rPr>
          <w:rFonts w:ascii="Arial" w:hAnsi="Arial" w:cs="Arial"/>
          <w:b/>
          <w:bCs/>
          <w:sz w:val="24"/>
        </w:rPr>
        <w:t>SA WG2 Meeting #12</w:t>
      </w:r>
      <w:r w:rsidR="00E66A2D">
        <w:rPr>
          <w:rFonts w:ascii="Arial" w:eastAsiaTheme="minorEastAsia" w:hAnsi="Arial" w:cs="Arial" w:hint="eastAsia"/>
          <w:b/>
          <w:bCs/>
          <w:sz w:val="24"/>
          <w:lang w:eastAsia="zh-CN"/>
        </w:rPr>
        <w:t>7</w:t>
      </w:r>
      <w:r>
        <w:rPr>
          <w:rFonts w:ascii="Arial" w:hAnsi="Arial" w:cs="Arial"/>
          <w:b/>
          <w:bCs/>
          <w:sz w:val="24"/>
        </w:rPr>
        <w:tab/>
        <w:t>S2-</w:t>
      </w:r>
      <w:r w:rsidR="00B05D55">
        <w:rPr>
          <w:rFonts w:ascii="Arial" w:hAnsi="Arial" w:cs="Arial"/>
          <w:b/>
          <w:bCs/>
          <w:sz w:val="24"/>
        </w:rPr>
        <w:t>18</w:t>
      </w:r>
      <w:r w:rsidR="00E0530D">
        <w:rPr>
          <w:rFonts w:ascii="Arial" w:eastAsiaTheme="minorEastAsia" w:hAnsi="Arial" w:cs="Arial"/>
          <w:b/>
          <w:bCs/>
          <w:sz w:val="24"/>
          <w:lang w:eastAsia="zh-CN"/>
        </w:rPr>
        <w:t>3787</w:t>
      </w:r>
      <w:bookmarkStart w:id="0" w:name="_GoBack"/>
      <w:bookmarkEnd w:id="0"/>
    </w:p>
    <w:p w14:paraId="37F4D0C1" w14:textId="3FA4E5BA" w:rsidR="00565F90" w:rsidRPr="0052708D" w:rsidRDefault="00E66A2D" w:rsidP="00565F90">
      <w:pPr>
        <w:pBdr>
          <w:bottom w:val="single" w:sz="6" w:space="0" w:color="auto"/>
        </w:pBdr>
        <w:tabs>
          <w:tab w:val="right" w:pos="9638"/>
        </w:tabs>
        <w:rPr>
          <w:rFonts w:ascii="Arial" w:hAnsi="Arial" w:cs="Arial"/>
          <w:b/>
          <w:bCs/>
          <w:sz w:val="24"/>
          <w:szCs w:val="24"/>
        </w:rPr>
      </w:pPr>
      <w:r>
        <w:rPr>
          <w:rFonts w:ascii="Arial" w:eastAsiaTheme="minorEastAsia" w:hAnsi="Arial" w:cs="Arial"/>
          <w:b/>
          <w:bCs/>
          <w:sz w:val="24"/>
          <w:szCs w:val="24"/>
          <w:lang w:eastAsia="zh-CN"/>
        </w:rPr>
        <w:t>16</w:t>
      </w:r>
      <w:r w:rsidR="00565F90">
        <w:rPr>
          <w:rFonts w:ascii="Arial" w:hAnsi="Arial" w:cs="Arial"/>
          <w:b/>
          <w:bCs/>
          <w:sz w:val="24"/>
          <w:szCs w:val="24"/>
        </w:rPr>
        <w:t xml:space="preserve"> – </w:t>
      </w:r>
      <w:r>
        <w:rPr>
          <w:rFonts w:ascii="Arial" w:hAnsi="Arial" w:cs="Arial"/>
          <w:b/>
          <w:bCs/>
          <w:sz w:val="24"/>
          <w:szCs w:val="24"/>
        </w:rPr>
        <w:t>20 April</w:t>
      </w:r>
      <w:r w:rsidR="00565F90">
        <w:rPr>
          <w:rFonts w:ascii="Arial" w:hAnsi="Arial" w:cs="Arial"/>
          <w:b/>
          <w:bCs/>
          <w:sz w:val="24"/>
          <w:szCs w:val="24"/>
        </w:rPr>
        <w:t xml:space="preserve">, 2018, </w:t>
      </w:r>
      <w:r>
        <w:rPr>
          <w:rFonts w:ascii="Arial" w:hAnsi="Arial" w:cs="Arial"/>
          <w:b/>
          <w:bCs/>
          <w:sz w:val="24"/>
          <w:szCs w:val="24"/>
        </w:rPr>
        <w:t>Sanya</w:t>
      </w:r>
      <w:r w:rsidR="00D151CD" w:rsidRPr="00D151CD">
        <w:rPr>
          <w:rFonts w:ascii="Arial" w:hAnsi="Arial" w:cs="Arial"/>
          <w:b/>
          <w:bCs/>
          <w:sz w:val="24"/>
          <w:szCs w:val="24"/>
        </w:rPr>
        <w:t xml:space="preserve">, </w:t>
      </w:r>
      <w:r>
        <w:rPr>
          <w:rFonts w:ascii="Arial" w:hAnsi="Arial" w:cs="Arial"/>
          <w:b/>
          <w:bCs/>
          <w:sz w:val="24"/>
          <w:szCs w:val="24"/>
        </w:rPr>
        <w:t>P. R. China</w:t>
      </w:r>
      <w:r w:rsidR="00565F90" w:rsidRPr="0052708D">
        <w:rPr>
          <w:rFonts w:ascii="Arial" w:hAnsi="Arial" w:cs="Arial"/>
          <w:b/>
          <w:bCs/>
          <w:sz w:val="24"/>
          <w:szCs w:val="24"/>
        </w:rPr>
        <w:tab/>
        <w:t>(</w:t>
      </w:r>
      <w:r w:rsidR="00565F90">
        <w:rPr>
          <w:rFonts w:ascii="Arial" w:hAnsi="Arial" w:cs="Arial"/>
          <w:b/>
          <w:bCs/>
          <w:sz w:val="24"/>
          <w:szCs w:val="24"/>
        </w:rPr>
        <w:t>was S2-18</w:t>
      </w:r>
      <w:r w:rsidR="006D36D5">
        <w:rPr>
          <w:rFonts w:ascii="Arial" w:hAnsi="Arial" w:cs="Arial"/>
          <w:b/>
          <w:bCs/>
          <w:sz w:val="24"/>
          <w:szCs w:val="24"/>
        </w:rPr>
        <w:t>xxxx</w:t>
      </w:r>
      <w:r w:rsidR="00565F90" w:rsidRPr="0052708D">
        <w:rPr>
          <w:rFonts w:ascii="Arial" w:hAnsi="Arial" w:cs="Arial"/>
          <w:b/>
          <w:bCs/>
          <w:sz w:val="24"/>
          <w:szCs w:val="24"/>
        </w:rPr>
        <w:t>)</w:t>
      </w:r>
    </w:p>
    <w:p w14:paraId="45F94578" w14:textId="77777777" w:rsidR="00FB501F" w:rsidRPr="005719A8" w:rsidRDefault="00FB501F" w:rsidP="00FB501F">
      <w:pPr>
        <w:keepNext/>
      </w:pPr>
    </w:p>
    <w:p w14:paraId="06EADFC5" w14:textId="14D96ADE"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6D36D5">
        <w:rPr>
          <w:rFonts w:ascii="Arial" w:eastAsiaTheme="minorEastAsia" w:hAnsi="Arial" w:cs="Arial"/>
          <w:b/>
          <w:lang w:eastAsia="zh-CN"/>
        </w:rPr>
        <w:t>Samsung</w:t>
      </w:r>
    </w:p>
    <w:p w14:paraId="7B972D81" w14:textId="59FB1F4D"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B8036F">
        <w:rPr>
          <w:rFonts w:ascii="Arial" w:hAnsi="Arial" w:cs="Arial"/>
          <w:b/>
        </w:rPr>
        <w:t>Summary of offline discussions on INOBEAR</w:t>
      </w:r>
    </w:p>
    <w:p w14:paraId="71B99CC1" w14:textId="5738D1D7" w:rsidR="00FB501F" w:rsidRPr="006C0823"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B8036F">
        <w:rPr>
          <w:rFonts w:ascii="Arial" w:hAnsi="Arial" w:cs="Arial"/>
          <w:b/>
        </w:rPr>
        <w:t>Information</w:t>
      </w:r>
    </w:p>
    <w:p w14:paraId="78BF91B8"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392478">
        <w:rPr>
          <w:rFonts w:ascii="Arial" w:eastAsiaTheme="minorEastAsia" w:hAnsi="Arial" w:cs="Arial"/>
          <w:b/>
          <w:lang w:eastAsia="zh-CN"/>
        </w:rPr>
        <w:t>15</w:t>
      </w:r>
    </w:p>
    <w:p w14:paraId="6846388D" w14:textId="777777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392478">
        <w:rPr>
          <w:rFonts w:ascii="Arial" w:eastAsiaTheme="minorEastAsia" w:hAnsi="Arial" w:cs="Arial"/>
          <w:b/>
          <w:lang w:eastAsia="zh-CN"/>
        </w:rPr>
        <w:t>INOBEAR</w:t>
      </w:r>
      <w:r w:rsidR="00565F90">
        <w:rPr>
          <w:rFonts w:ascii="Arial" w:hAnsi="Arial" w:cs="Arial"/>
          <w:b/>
        </w:rPr>
        <w:t xml:space="preserve"> / Rel-1</w:t>
      </w:r>
      <w:r w:rsidR="00F66666">
        <w:rPr>
          <w:rFonts w:ascii="Arial" w:eastAsiaTheme="minorEastAsia" w:hAnsi="Arial" w:cs="Arial" w:hint="eastAsia"/>
          <w:b/>
          <w:lang w:eastAsia="zh-CN"/>
        </w:rPr>
        <w:t>5</w:t>
      </w:r>
    </w:p>
    <w:p w14:paraId="68F46B09" w14:textId="1F8B1028"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w:t>
      </w:r>
      <w:r w:rsidR="00452A27" w:rsidRPr="00452A27">
        <w:rPr>
          <w:rFonts w:ascii="Arial" w:hAnsi="Arial" w:cs="Arial"/>
          <w:i/>
        </w:rPr>
        <w:t>There have been some off-line discussions and a conference call to progress the INOBEAR work after the Montreal meeting and the intention of this contribution is to summarise those activities.</w:t>
      </w:r>
    </w:p>
    <w:p w14:paraId="03BB351B" w14:textId="0D3B26E9" w:rsidR="00FB501F" w:rsidRDefault="003277E0" w:rsidP="003277E0">
      <w:pPr>
        <w:pStyle w:val="Heading2"/>
      </w:pPr>
      <w:r w:rsidRPr="003277E0">
        <w:rPr>
          <w:rFonts w:eastAsiaTheme="minorEastAsia" w:hint="eastAsia"/>
          <w:lang w:eastAsia="zh-CN"/>
        </w:rPr>
        <w:t>1.</w:t>
      </w:r>
      <w:r>
        <w:rPr>
          <w:rFonts w:hint="eastAsia"/>
        </w:rPr>
        <w:tab/>
      </w:r>
      <w:r>
        <w:t>Introduction</w:t>
      </w:r>
    </w:p>
    <w:p w14:paraId="1337F887" w14:textId="5F5C5CC8" w:rsidR="003277E0" w:rsidRDefault="003277E0" w:rsidP="003277E0">
      <w:r>
        <w:t>There have been some off-line discussions and a conference call to progress the INOBEAR work after the Montreal meeting and the intention of this contribution is to summarise those activities.</w:t>
      </w:r>
    </w:p>
    <w:p w14:paraId="73BE4509" w14:textId="3774E316" w:rsidR="003277E0" w:rsidRDefault="003277E0" w:rsidP="003277E0">
      <w:pPr>
        <w:pStyle w:val="Heading2"/>
      </w:pPr>
      <w:r>
        <w:rPr>
          <w:rFonts w:eastAsiaTheme="minorEastAsia" w:hint="eastAsia"/>
          <w:lang w:eastAsia="zh-CN"/>
        </w:rPr>
        <w:t>2</w:t>
      </w:r>
      <w:r w:rsidRPr="003277E0">
        <w:rPr>
          <w:rFonts w:eastAsiaTheme="minorEastAsia" w:hint="eastAsia"/>
          <w:lang w:eastAsia="zh-CN"/>
        </w:rPr>
        <w:t>.</w:t>
      </w:r>
      <w:r>
        <w:rPr>
          <w:rFonts w:hint="eastAsia"/>
        </w:rPr>
        <w:tab/>
      </w:r>
      <w:r>
        <w:t>Conference call on Liaison responses</w:t>
      </w:r>
    </w:p>
    <w:p w14:paraId="25E50E25" w14:textId="293891F8" w:rsidR="003277E0" w:rsidRPr="003277E0" w:rsidRDefault="003277E0" w:rsidP="003277E0">
      <w:r>
        <w:t>A conference call was held in order to try to establish some consensus on the answers that the addressed Working Groups could respond with to the LS that SA2 sent during the Montreal meeting. The aim was to increase the chance of those Working Groups being able to send a response to SA2 early in the week of the Sanya SA2 meeting.</w:t>
      </w:r>
      <w:r w:rsidR="00DD78E5">
        <w:t xml:space="preserve"> Experts from the different WGs were involved.</w:t>
      </w:r>
    </w:p>
    <w:p w14:paraId="63D2B823" w14:textId="033823AA" w:rsidR="008903FB" w:rsidRDefault="003277E0" w:rsidP="008903FB">
      <w:r>
        <w:t>A summary of the questions that SA2 asked was drawn up</w:t>
      </w:r>
      <w:r w:rsidR="00DB4727">
        <w:t>, where the non-greyed cells indicate that the corresponding WG was asked the indicated question</w:t>
      </w:r>
      <w:r w:rsidR="000343FC">
        <w:t xml:space="preserve">. </w:t>
      </w:r>
      <w:r w:rsidR="000343FC" w:rsidRPr="00C5161D">
        <w:t xml:space="preserve">We worked through the questionnaire, discussing each row (question) in the table, </w:t>
      </w:r>
      <w:r w:rsidR="000343FC">
        <w:t>reaching some agreement on the indicated answers</w:t>
      </w:r>
      <w:r w:rsidR="000343FC" w:rsidRPr="00C5161D">
        <w:t xml:space="preserve">. </w:t>
      </w:r>
      <w:r w:rsidR="000343FC">
        <w:t>Some more details on the discussion leading to the answers is indicated below the table.</w:t>
      </w:r>
      <w:r w:rsidR="0089158F">
        <w:t xml:space="preserve"> Note that this doesn’t mean that different opinions can’t be expressed during the WG meetings themselves, this is just an indication of the opinions expressed.</w:t>
      </w:r>
    </w:p>
    <w:tbl>
      <w:tblPr>
        <w:tblStyle w:val="TableGrid"/>
        <w:tblW w:w="9554" w:type="dxa"/>
        <w:tblLook w:val="04A0" w:firstRow="1" w:lastRow="0" w:firstColumn="1" w:lastColumn="0" w:noHBand="0" w:noVBand="1"/>
      </w:tblPr>
      <w:tblGrid>
        <w:gridCol w:w="704"/>
        <w:gridCol w:w="4932"/>
        <w:gridCol w:w="1023"/>
        <w:gridCol w:w="1018"/>
        <w:gridCol w:w="1019"/>
        <w:gridCol w:w="858"/>
      </w:tblGrid>
      <w:tr w:rsidR="003277E0" w:rsidRPr="001F3DAF" w14:paraId="6F1B80F8" w14:textId="77777777" w:rsidTr="00C5161D">
        <w:tc>
          <w:tcPr>
            <w:tcW w:w="704" w:type="dxa"/>
          </w:tcPr>
          <w:p w14:paraId="4D18249C" w14:textId="77777777" w:rsidR="003277E0" w:rsidRPr="00DB4727" w:rsidRDefault="003277E0" w:rsidP="00C5161D">
            <w:pPr>
              <w:rPr>
                <w:rFonts w:ascii="Arial" w:hAnsi="Arial" w:cs="Arial"/>
                <w:sz w:val="20"/>
                <w:szCs w:val="20"/>
              </w:rPr>
            </w:pPr>
          </w:p>
        </w:tc>
        <w:tc>
          <w:tcPr>
            <w:tcW w:w="4932" w:type="dxa"/>
          </w:tcPr>
          <w:p w14:paraId="32414F90" w14:textId="77777777" w:rsidR="003277E0" w:rsidRPr="00DB4727" w:rsidRDefault="003277E0" w:rsidP="00C5161D">
            <w:pPr>
              <w:rPr>
                <w:rFonts w:ascii="Arial" w:hAnsi="Arial" w:cs="Arial"/>
                <w:sz w:val="20"/>
                <w:szCs w:val="20"/>
              </w:rPr>
            </w:pPr>
          </w:p>
        </w:tc>
        <w:tc>
          <w:tcPr>
            <w:tcW w:w="1023" w:type="dxa"/>
          </w:tcPr>
          <w:p w14:paraId="0E960774" w14:textId="77777777" w:rsidR="003277E0" w:rsidRPr="00DB4727" w:rsidRDefault="003277E0" w:rsidP="00C5161D">
            <w:pPr>
              <w:rPr>
                <w:rFonts w:ascii="Arial" w:hAnsi="Arial" w:cs="Arial"/>
                <w:b/>
                <w:sz w:val="20"/>
                <w:szCs w:val="20"/>
              </w:rPr>
            </w:pPr>
            <w:r w:rsidRPr="00DB4727">
              <w:rPr>
                <w:rFonts w:ascii="Arial" w:hAnsi="Arial" w:cs="Arial"/>
                <w:b/>
                <w:sz w:val="20"/>
                <w:szCs w:val="20"/>
              </w:rPr>
              <w:t>CT1</w:t>
            </w:r>
          </w:p>
        </w:tc>
        <w:tc>
          <w:tcPr>
            <w:tcW w:w="1018" w:type="dxa"/>
          </w:tcPr>
          <w:p w14:paraId="2CA8B333" w14:textId="77777777" w:rsidR="003277E0" w:rsidRPr="00DB4727" w:rsidRDefault="003277E0" w:rsidP="00C5161D">
            <w:pPr>
              <w:rPr>
                <w:rFonts w:ascii="Arial" w:hAnsi="Arial" w:cs="Arial"/>
                <w:b/>
                <w:sz w:val="20"/>
                <w:szCs w:val="20"/>
              </w:rPr>
            </w:pPr>
            <w:r w:rsidRPr="00DB4727">
              <w:rPr>
                <w:rFonts w:ascii="Arial" w:hAnsi="Arial" w:cs="Arial"/>
                <w:b/>
                <w:sz w:val="20"/>
                <w:szCs w:val="20"/>
              </w:rPr>
              <w:t>CT4</w:t>
            </w:r>
          </w:p>
        </w:tc>
        <w:tc>
          <w:tcPr>
            <w:tcW w:w="1019" w:type="dxa"/>
          </w:tcPr>
          <w:p w14:paraId="5EEF7EFF" w14:textId="77777777" w:rsidR="003277E0" w:rsidRPr="00DB4727" w:rsidRDefault="003277E0" w:rsidP="00C5161D">
            <w:pPr>
              <w:rPr>
                <w:rFonts w:ascii="Arial" w:hAnsi="Arial" w:cs="Arial"/>
                <w:b/>
                <w:sz w:val="20"/>
                <w:szCs w:val="20"/>
              </w:rPr>
            </w:pPr>
            <w:r w:rsidRPr="00DB4727">
              <w:rPr>
                <w:rFonts w:ascii="Arial" w:hAnsi="Arial" w:cs="Arial"/>
                <w:b/>
                <w:sz w:val="20"/>
                <w:szCs w:val="20"/>
              </w:rPr>
              <w:t>RAN2</w:t>
            </w:r>
          </w:p>
        </w:tc>
        <w:tc>
          <w:tcPr>
            <w:tcW w:w="858" w:type="dxa"/>
          </w:tcPr>
          <w:p w14:paraId="24E7E3D1" w14:textId="77777777" w:rsidR="003277E0" w:rsidRPr="00DB4727" w:rsidRDefault="003277E0" w:rsidP="00C5161D">
            <w:pPr>
              <w:rPr>
                <w:rFonts w:ascii="Arial" w:hAnsi="Arial" w:cs="Arial"/>
                <w:b/>
                <w:sz w:val="20"/>
                <w:szCs w:val="20"/>
              </w:rPr>
            </w:pPr>
            <w:r w:rsidRPr="00DB4727">
              <w:rPr>
                <w:rFonts w:ascii="Arial" w:hAnsi="Arial" w:cs="Arial"/>
                <w:b/>
                <w:sz w:val="20"/>
                <w:szCs w:val="20"/>
              </w:rPr>
              <w:t>RAN3</w:t>
            </w:r>
          </w:p>
        </w:tc>
      </w:tr>
      <w:tr w:rsidR="003277E0" w:rsidRPr="00994171" w14:paraId="454DC9EA" w14:textId="77777777" w:rsidTr="00C5161D">
        <w:tc>
          <w:tcPr>
            <w:tcW w:w="704" w:type="dxa"/>
          </w:tcPr>
          <w:p w14:paraId="0D2FA534" w14:textId="77777777" w:rsidR="003277E0" w:rsidRPr="00DB4727" w:rsidRDefault="003277E0" w:rsidP="00C5161D">
            <w:pPr>
              <w:rPr>
                <w:rFonts w:ascii="Times New Roman" w:hAnsi="Times New Roman" w:cs="Times New Roman"/>
                <w:sz w:val="20"/>
                <w:szCs w:val="20"/>
              </w:rPr>
            </w:pPr>
            <w:r w:rsidRPr="00DB4727">
              <w:rPr>
                <w:rFonts w:ascii="Times New Roman" w:hAnsi="Times New Roman" w:cs="Times New Roman"/>
                <w:sz w:val="20"/>
                <w:szCs w:val="20"/>
              </w:rPr>
              <w:t>1</w:t>
            </w:r>
          </w:p>
        </w:tc>
        <w:tc>
          <w:tcPr>
            <w:tcW w:w="4932" w:type="dxa"/>
          </w:tcPr>
          <w:p w14:paraId="77E18026" w14:textId="77777777" w:rsidR="003277E0" w:rsidRPr="00DB4727" w:rsidRDefault="003277E0" w:rsidP="00C5161D">
            <w:pPr>
              <w:rPr>
                <w:rFonts w:ascii="Times New Roman" w:hAnsi="Times New Roman" w:cs="Times New Roman"/>
                <w:sz w:val="20"/>
                <w:szCs w:val="20"/>
              </w:rPr>
            </w:pPr>
            <w:r w:rsidRPr="00DB4727">
              <w:rPr>
                <w:rFonts w:ascii="Times New Roman" w:hAnsi="Times New Roman" w:cs="Times New Roman"/>
                <w:sz w:val="20"/>
                <w:szCs w:val="20"/>
              </w:rPr>
              <w:t>Support of 15 EPS Bearers within the MME pool area can assumed to be homogeneous?</w:t>
            </w:r>
          </w:p>
        </w:tc>
        <w:tc>
          <w:tcPr>
            <w:tcW w:w="1023" w:type="dxa"/>
          </w:tcPr>
          <w:p w14:paraId="4FCC0B56" w14:textId="68F992F5" w:rsidR="003277E0" w:rsidRPr="00E51209" w:rsidRDefault="00DD78E5" w:rsidP="00C5161D">
            <w:pPr>
              <w:rPr>
                <w:rFonts w:ascii="Times New Roman" w:hAnsi="Times New Roman" w:cs="Times New Roman"/>
                <w:sz w:val="20"/>
                <w:szCs w:val="20"/>
                <w:lang w:eastAsia="zh-CN"/>
              </w:rPr>
            </w:pPr>
            <w:r w:rsidRPr="00E51209">
              <w:rPr>
                <w:rFonts w:ascii="Times New Roman" w:hAnsi="Times New Roman" w:cs="Times New Roman"/>
                <w:sz w:val="20"/>
                <w:szCs w:val="20"/>
                <w:lang w:eastAsia="zh-CN"/>
              </w:rPr>
              <w:t>Yes</w:t>
            </w:r>
          </w:p>
        </w:tc>
        <w:tc>
          <w:tcPr>
            <w:tcW w:w="1018" w:type="dxa"/>
          </w:tcPr>
          <w:p w14:paraId="473852E0" w14:textId="4987A1D0" w:rsidR="003277E0" w:rsidRPr="00E51209" w:rsidRDefault="00DD78E5" w:rsidP="00C5161D">
            <w:pPr>
              <w:rPr>
                <w:rFonts w:ascii="Times New Roman" w:hAnsi="Times New Roman" w:cs="Times New Roman"/>
                <w:sz w:val="20"/>
                <w:szCs w:val="20"/>
              </w:rPr>
            </w:pPr>
            <w:r w:rsidRPr="00E51209">
              <w:rPr>
                <w:rFonts w:ascii="Times New Roman" w:hAnsi="Times New Roman" w:cs="Times New Roman"/>
                <w:sz w:val="20"/>
                <w:szCs w:val="20"/>
              </w:rPr>
              <w:t>Yes</w:t>
            </w:r>
          </w:p>
        </w:tc>
        <w:tc>
          <w:tcPr>
            <w:tcW w:w="1019" w:type="dxa"/>
            <w:shd w:val="clear" w:color="auto" w:fill="D9D9D9" w:themeFill="background1" w:themeFillShade="D9"/>
          </w:tcPr>
          <w:p w14:paraId="56D0427A" w14:textId="77777777" w:rsidR="003277E0" w:rsidRPr="00E51209" w:rsidRDefault="003277E0" w:rsidP="00C5161D">
            <w:pPr>
              <w:rPr>
                <w:rFonts w:ascii="Times New Roman" w:hAnsi="Times New Roman" w:cs="Times New Roman"/>
                <w:sz w:val="20"/>
                <w:szCs w:val="20"/>
              </w:rPr>
            </w:pPr>
          </w:p>
        </w:tc>
        <w:tc>
          <w:tcPr>
            <w:tcW w:w="858" w:type="dxa"/>
          </w:tcPr>
          <w:p w14:paraId="69E9B190" w14:textId="7357761C" w:rsidR="003277E0" w:rsidRPr="00E51209" w:rsidRDefault="00DD78E5" w:rsidP="00C5161D">
            <w:pPr>
              <w:rPr>
                <w:rFonts w:ascii="Times New Roman" w:hAnsi="Times New Roman" w:cs="Times New Roman"/>
                <w:sz w:val="20"/>
                <w:szCs w:val="20"/>
              </w:rPr>
            </w:pPr>
            <w:r w:rsidRPr="00E51209">
              <w:rPr>
                <w:rFonts w:ascii="Times New Roman" w:hAnsi="Times New Roman" w:cs="Times New Roman"/>
                <w:sz w:val="20"/>
                <w:szCs w:val="20"/>
              </w:rPr>
              <w:t>Yes</w:t>
            </w:r>
          </w:p>
        </w:tc>
      </w:tr>
      <w:tr w:rsidR="003277E0" w:rsidRPr="00DB23A1" w14:paraId="37D00C28" w14:textId="77777777" w:rsidTr="00C5161D">
        <w:tc>
          <w:tcPr>
            <w:tcW w:w="704" w:type="dxa"/>
          </w:tcPr>
          <w:p w14:paraId="5447DF5D" w14:textId="77777777" w:rsidR="003277E0" w:rsidRPr="00DB4727" w:rsidRDefault="003277E0" w:rsidP="00C5161D">
            <w:pPr>
              <w:rPr>
                <w:rFonts w:ascii="Times New Roman" w:hAnsi="Times New Roman" w:cs="Times New Roman"/>
                <w:sz w:val="20"/>
                <w:szCs w:val="20"/>
              </w:rPr>
            </w:pPr>
            <w:r w:rsidRPr="00DB4727">
              <w:rPr>
                <w:rFonts w:ascii="Times New Roman" w:hAnsi="Times New Roman" w:cs="Times New Roman"/>
                <w:sz w:val="20"/>
                <w:szCs w:val="20"/>
              </w:rPr>
              <w:t>2</w:t>
            </w:r>
          </w:p>
        </w:tc>
        <w:tc>
          <w:tcPr>
            <w:tcW w:w="4932" w:type="dxa"/>
          </w:tcPr>
          <w:p w14:paraId="6450C5F4" w14:textId="77777777" w:rsidR="003277E0" w:rsidRPr="00DB4727" w:rsidRDefault="003277E0" w:rsidP="00C5161D">
            <w:pPr>
              <w:rPr>
                <w:rFonts w:ascii="Times New Roman" w:hAnsi="Times New Roman" w:cs="Times New Roman"/>
                <w:sz w:val="20"/>
                <w:szCs w:val="20"/>
              </w:rPr>
            </w:pPr>
            <w:r w:rsidRPr="00DB4727">
              <w:rPr>
                <w:rFonts w:ascii="Times New Roman" w:hAnsi="Times New Roman" w:cs="Times New Roman"/>
                <w:sz w:val="20"/>
                <w:szCs w:val="20"/>
              </w:rPr>
              <w:t>Support of 15 EPS bearers within the SGW service area can assumed to be homogeneous?</w:t>
            </w:r>
          </w:p>
        </w:tc>
        <w:tc>
          <w:tcPr>
            <w:tcW w:w="1023" w:type="dxa"/>
          </w:tcPr>
          <w:p w14:paraId="353C863B" w14:textId="7A44926F" w:rsidR="003277E0" w:rsidRPr="00E51209" w:rsidRDefault="00DD78E5" w:rsidP="00C5161D">
            <w:pPr>
              <w:rPr>
                <w:rFonts w:ascii="Times New Roman" w:hAnsi="Times New Roman" w:cs="Times New Roman"/>
                <w:sz w:val="20"/>
                <w:szCs w:val="20"/>
              </w:rPr>
            </w:pPr>
            <w:r w:rsidRPr="00E51209">
              <w:rPr>
                <w:rFonts w:ascii="Times New Roman" w:hAnsi="Times New Roman" w:cs="Times New Roman"/>
                <w:sz w:val="20"/>
                <w:szCs w:val="20"/>
              </w:rPr>
              <w:t>Yes</w:t>
            </w:r>
          </w:p>
        </w:tc>
        <w:tc>
          <w:tcPr>
            <w:tcW w:w="1018" w:type="dxa"/>
          </w:tcPr>
          <w:p w14:paraId="6DF658AD" w14:textId="33B2A722" w:rsidR="003277E0" w:rsidRPr="00E51209" w:rsidRDefault="00DD78E5" w:rsidP="00C5161D">
            <w:pPr>
              <w:rPr>
                <w:rFonts w:ascii="Times New Roman" w:hAnsi="Times New Roman" w:cs="Times New Roman"/>
                <w:sz w:val="20"/>
                <w:szCs w:val="20"/>
              </w:rPr>
            </w:pPr>
            <w:r w:rsidRPr="00E51209">
              <w:rPr>
                <w:rFonts w:ascii="Times New Roman" w:hAnsi="Times New Roman" w:cs="Times New Roman"/>
                <w:sz w:val="20"/>
                <w:szCs w:val="20"/>
              </w:rPr>
              <w:t>Yes</w:t>
            </w:r>
          </w:p>
        </w:tc>
        <w:tc>
          <w:tcPr>
            <w:tcW w:w="1019" w:type="dxa"/>
            <w:shd w:val="clear" w:color="auto" w:fill="D9D9D9" w:themeFill="background1" w:themeFillShade="D9"/>
          </w:tcPr>
          <w:p w14:paraId="1EB4DD7C" w14:textId="77777777" w:rsidR="003277E0" w:rsidRPr="00E51209" w:rsidRDefault="003277E0" w:rsidP="00C5161D">
            <w:pPr>
              <w:rPr>
                <w:rFonts w:ascii="Times New Roman" w:hAnsi="Times New Roman" w:cs="Times New Roman"/>
                <w:sz w:val="20"/>
                <w:szCs w:val="20"/>
              </w:rPr>
            </w:pPr>
          </w:p>
        </w:tc>
        <w:tc>
          <w:tcPr>
            <w:tcW w:w="858" w:type="dxa"/>
          </w:tcPr>
          <w:p w14:paraId="22E7F5DE" w14:textId="67C29219" w:rsidR="003277E0" w:rsidRPr="00E51209" w:rsidRDefault="00DD78E5" w:rsidP="00C5161D">
            <w:pPr>
              <w:rPr>
                <w:rFonts w:ascii="Times New Roman" w:hAnsi="Times New Roman" w:cs="Times New Roman"/>
                <w:sz w:val="20"/>
                <w:szCs w:val="20"/>
              </w:rPr>
            </w:pPr>
            <w:r w:rsidRPr="00E51209">
              <w:rPr>
                <w:rFonts w:ascii="Times New Roman" w:hAnsi="Times New Roman" w:cs="Times New Roman"/>
                <w:sz w:val="20"/>
                <w:szCs w:val="20"/>
              </w:rPr>
              <w:t>Yes</w:t>
            </w:r>
          </w:p>
        </w:tc>
      </w:tr>
      <w:tr w:rsidR="003277E0" w:rsidRPr="000F1802" w14:paraId="4459CE20" w14:textId="77777777" w:rsidTr="00C5161D">
        <w:tc>
          <w:tcPr>
            <w:tcW w:w="704" w:type="dxa"/>
          </w:tcPr>
          <w:p w14:paraId="436F3173" w14:textId="77777777" w:rsidR="003277E0" w:rsidRPr="00DB4727" w:rsidRDefault="003277E0" w:rsidP="00C5161D">
            <w:pPr>
              <w:rPr>
                <w:rFonts w:ascii="Times New Roman" w:hAnsi="Times New Roman" w:cs="Times New Roman"/>
                <w:sz w:val="20"/>
                <w:szCs w:val="20"/>
              </w:rPr>
            </w:pPr>
            <w:r w:rsidRPr="00DB4727">
              <w:rPr>
                <w:rFonts w:ascii="Times New Roman" w:hAnsi="Times New Roman" w:cs="Times New Roman"/>
                <w:sz w:val="20"/>
                <w:szCs w:val="20"/>
              </w:rPr>
              <w:t>3</w:t>
            </w:r>
          </w:p>
        </w:tc>
        <w:tc>
          <w:tcPr>
            <w:tcW w:w="4932" w:type="dxa"/>
          </w:tcPr>
          <w:p w14:paraId="1BC8D73B" w14:textId="77777777" w:rsidR="003277E0" w:rsidRPr="00DB4727" w:rsidRDefault="003277E0" w:rsidP="00C5161D">
            <w:pPr>
              <w:rPr>
                <w:rFonts w:ascii="Times New Roman" w:hAnsi="Times New Roman" w:cs="Times New Roman"/>
                <w:sz w:val="20"/>
                <w:szCs w:val="20"/>
              </w:rPr>
            </w:pPr>
            <w:r w:rsidRPr="00DB4727">
              <w:rPr>
                <w:rFonts w:ascii="Times New Roman" w:hAnsi="Times New Roman" w:cs="Times New Roman"/>
                <w:sz w:val="20"/>
                <w:szCs w:val="20"/>
              </w:rPr>
              <w:t>If not all eNBs within an MME pool area support 15 bearers and the MMEs all support 15 bearers is there likely to be significant impact on X2AP and S1AP specifications?</w:t>
            </w:r>
          </w:p>
        </w:tc>
        <w:tc>
          <w:tcPr>
            <w:tcW w:w="1023" w:type="dxa"/>
            <w:shd w:val="clear" w:color="auto" w:fill="D9D9D9" w:themeFill="background1" w:themeFillShade="D9"/>
          </w:tcPr>
          <w:p w14:paraId="02F5ACBB" w14:textId="77777777" w:rsidR="003277E0" w:rsidRPr="00E51209" w:rsidRDefault="003277E0" w:rsidP="00C5161D">
            <w:pPr>
              <w:rPr>
                <w:rFonts w:ascii="Times New Roman" w:hAnsi="Times New Roman" w:cs="Times New Roman"/>
                <w:sz w:val="20"/>
                <w:szCs w:val="20"/>
              </w:rPr>
            </w:pPr>
          </w:p>
        </w:tc>
        <w:tc>
          <w:tcPr>
            <w:tcW w:w="1018" w:type="dxa"/>
            <w:shd w:val="clear" w:color="auto" w:fill="D9D9D9" w:themeFill="background1" w:themeFillShade="D9"/>
          </w:tcPr>
          <w:p w14:paraId="25F0418D" w14:textId="77777777" w:rsidR="003277E0" w:rsidRPr="00E51209" w:rsidRDefault="003277E0" w:rsidP="00C5161D">
            <w:pPr>
              <w:rPr>
                <w:rFonts w:ascii="Times New Roman" w:hAnsi="Times New Roman" w:cs="Times New Roman"/>
                <w:sz w:val="20"/>
                <w:szCs w:val="20"/>
              </w:rPr>
            </w:pPr>
          </w:p>
        </w:tc>
        <w:tc>
          <w:tcPr>
            <w:tcW w:w="1019" w:type="dxa"/>
            <w:shd w:val="clear" w:color="auto" w:fill="D9D9D9" w:themeFill="background1" w:themeFillShade="D9"/>
          </w:tcPr>
          <w:p w14:paraId="0D0F79DF" w14:textId="77777777" w:rsidR="003277E0" w:rsidRPr="00E51209" w:rsidRDefault="003277E0" w:rsidP="00C5161D">
            <w:pPr>
              <w:rPr>
                <w:rFonts w:ascii="Times New Roman" w:hAnsi="Times New Roman" w:cs="Times New Roman"/>
                <w:sz w:val="20"/>
                <w:szCs w:val="20"/>
              </w:rPr>
            </w:pPr>
          </w:p>
        </w:tc>
        <w:tc>
          <w:tcPr>
            <w:tcW w:w="858" w:type="dxa"/>
          </w:tcPr>
          <w:p w14:paraId="6F2D9FD6" w14:textId="2E6BC59D" w:rsidR="003277E0" w:rsidRPr="00E51209" w:rsidRDefault="00DD78E5" w:rsidP="00C5161D">
            <w:pPr>
              <w:rPr>
                <w:rFonts w:ascii="Times New Roman" w:hAnsi="Times New Roman" w:cs="Times New Roman"/>
                <w:sz w:val="20"/>
                <w:szCs w:val="20"/>
              </w:rPr>
            </w:pPr>
            <w:r w:rsidRPr="00E51209">
              <w:rPr>
                <w:rFonts w:ascii="Times New Roman" w:hAnsi="Times New Roman" w:cs="Times New Roman"/>
                <w:sz w:val="20"/>
                <w:szCs w:val="20"/>
              </w:rPr>
              <w:t>No</w:t>
            </w:r>
          </w:p>
        </w:tc>
      </w:tr>
      <w:tr w:rsidR="003277E0" w:rsidRPr="00DB23A1" w14:paraId="3A75BB20" w14:textId="77777777" w:rsidTr="00C5161D">
        <w:tc>
          <w:tcPr>
            <w:tcW w:w="704" w:type="dxa"/>
          </w:tcPr>
          <w:p w14:paraId="4445855B" w14:textId="77777777" w:rsidR="003277E0" w:rsidRPr="00DB4727" w:rsidRDefault="003277E0" w:rsidP="00C5161D">
            <w:pPr>
              <w:rPr>
                <w:rFonts w:ascii="Times New Roman" w:hAnsi="Times New Roman" w:cs="Times New Roman"/>
                <w:sz w:val="20"/>
                <w:szCs w:val="20"/>
              </w:rPr>
            </w:pPr>
            <w:r w:rsidRPr="00DB4727">
              <w:rPr>
                <w:rFonts w:ascii="Times New Roman" w:hAnsi="Times New Roman" w:cs="Times New Roman"/>
                <w:sz w:val="20"/>
                <w:szCs w:val="20"/>
              </w:rPr>
              <w:t>4</w:t>
            </w:r>
          </w:p>
        </w:tc>
        <w:tc>
          <w:tcPr>
            <w:tcW w:w="4932" w:type="dxa"/>
          </w:tcPr>
          <w:p w14:paraId="3A19C4D5" w14:textId="77777777" w:rsidR="003277E0" w:rsidRPr="00DB4727" w:rsidRDefault="003277E0" w:rsidP="00C5161D">
            <w:pPr>
              <w:rPr>
                <w:rFonts w:ascii="Times New Roman" w:hAnsi="Times New Roman" w:cs="Times New Roman"/>
                <w:sz w:val="20"/>
                <w:szCs w:val="20"/>
              </w:rPr>
            </w:pPr>
            <w:r w:rsidRPr="00DB4727">
              <w:rPr>
                <w:rFonts w:ascii="Times New Roman" w:hAnsi="Times New Roman" w:cs="Times New Roman"/>
                <w:sz w:val="20"/>
                <w:szCs w:val="20"/>
              </w:rPr>
              <w:t>If the assumption is not taken of homogeneity under MME Pool Area/SGW serving area, would this impact completion of INOBEAR Stage 3 in Release 15?</w:t>
            </w:r>
          </w:p>
        </w:tc>
        <w:tc>
          <w:tcPr>
            <w:tcW w:w="1023" w:type="dxa"/>
            <w:shd w:val="clear" w:color="auto" w:fill="D9D9D9" w:themeFill="background1" w:themeFillShade="D9"/>
          </w:tcPr>
          <w:p w14:paraId="09A0F1E1" w14:textId="77777777" w:rsidR="003277E0" w:rsidRPr="00E51209" w:rsidRDefault="003277E0" w:rsidP="00C5161D">
            <w:pPr>
              <w:rPr>
                <w:rFonts w:ascii="Times New Roman" w:hAnsi="Times New Roman" w:cs="Times New Roman"/>
                <w:sz w:val="20"/>
                <w:szCs w:val="20"/>
              </w:rPr>
            </w:pPr>
          </w:p>
        </w:tc>
        <w:tc>
          <w:tcPr>
            <w:tcW w:w="1018" w:type="dxa"/>
            <w:shd w:val="clear" w:color="auto" w:fill="D9D9D9" w:themeFill="background1" w:themeFillShade="D9"/>
          </w:tcPr>
          <w:p w14:paraId="7E6BF7B0" w14:textId="5E45E455" w:rsidR="003277E0" w:rsidRPr="00E51209" w:rsidRDefault="003277E0" w:rsidP="00C5161D">
            <w:pPr>
              <w:rPr>
                <w:rFonts w:ascii="Times New Roman" w:hAnsi="Times New Roman" w:cs="Times New Roman"/>
                <w:sz w:val="20"/>
                <w:szCs w:val="20"/>
              </w:rPr>
            </w:pPr>
          </w:p>
        </w:tc>
        <w:tc>
          <w:tcPr>
            <w:tcW w:w="1019" w:type="dxa"/>
            <w:shd w:val="clear" w:color="auto" w:fill="D9D9D9" w:themeFill="background1" w:themeFillShade="D9"/>
          </w:tcPr>
          <w:p w14:paraId="0F0A0890" w14:textId="77777777" w:rsidR="003277E0" w:rsidRPr="00E51209" w:rsidRDefault="003277E0" w:rsidP="00C5161D">
            <w:pPr>
              <w:rPr>
                <w:rFonts w:ascii="Times New Roman" w:hAnsi="Times New Roman" w:cs="Times New Roman"/>
                <w:sz w:val="20"/>
                <w:szCs w:val="20"/>
                <w:lang w:eastAsia="zh-CN"/>
              </w:rPr>
            </w:pPr>
          </w:p>
        </w:tc>
        <w:tc>
          <w:tcPr>
            <w:tcW w:w="858" w:type="dxa"/>
          </w:tcPr>
          <w:p w14:paraId="0EF725E7" w14:textId="018173D8" w:rsidR="003277E0" w:rsidRPr="00E51209" w:rsidRDefault="003277E0" w:rsidP="00C5161D">
            <w:pPr>
              <w:rPr>
                <w:rFonts w:ascii="Times New Roman" w:hAnsi="Times New Roman" w:cs="Times New Roman"/>
                <w:sz w:val="20"/>
                <w:szCs w:val="20"/>
              </w:rPr>
            </w:pPr>
          </w:p>
        </w:tc>
      </w:tr>
      <w:tr w:rsidR="003277E0" w:rsidRPr="00743F69" w14:paraId="6899DEF4" w14:textId="77777777" w:rsidTr="00C5161D">
        <w:tc>
          <w:tcPr>
            <w:tcW w:w="704" w:type="dxa"/>
          </w:tcPr>
          <w:p w14:paraId="51989AE8" w14:textId="77777777" w:rsidR="003277E0" w:rsidRPr="00DB4727" w:rsidRDefault="003277E0" w:rsidP="00C5161D">
            <w:pPr>
              <w:rPr>
                <w:rFonts w:ascii="Times New Roman" w:hAnsi="Times New Roman" w:cs="Times New Roman"/>
                <w:sz w:val="20"/>
                <w:szCs w:val="20"/>
              </w:rPr>
            </w:pPr>
            <w:r w:rsidRPr="00DB4727">
              <w:rPr>
                <w:rFonts w:ascii="Times New Roman" w:hAnsi="Times New Roman" w:cs="Times New Roman"/>
                <w:sz w:val="20"/>
                <w:szCs w:val="20"/>
              </w:rPr>
              <w:t>5</w:t>
            </w:r>
          </w:p>
        </w:tc>
        <w:tc>
          <w:tcPr>
            <w:tcW w:w="4932" w:type="dxa"/>
          </w:tcPr>
          <w:p w14:paraId="667B9FC7" w14:textId="77777777" w:rsidR="003277E0" w:rsidRPr="00DB4727" w:rsidRDefault="003277E0" w:rsidP="00C5161D">
            <w:pPr>
              <w:rPr>
                <w:rFonts w:ascii="Times New Roman" w:hAnsi="Times New Roman" w:cs="Times New Roman"/>
                <w:sz w:val="20"/>
                <w:szCs w:val="20"/>
              </w:rPr>
            </w:pPr>
            <w:r w:rsidRPr="00DB4727">
              <w:rPr>
                <w:rFonts w:ascii="Times New Roman" w:hAnsi="Times New Roman" w:cs="Times New Roman"/>
                <w:sz w:val="20"/>
                <w:szCs w:val="20"/>
              </w:rPr>
              <w:t>For idle mode mobility and HO, can Stage 3 defined error handling handle the release of bearers that were allocated EPS Bearer ID values that are not supported before Release 15?</w:t>
            </w:r>
          </w:p>
        </w:tc>
        <w:tc>
          <w:tcPr>
            <w:tcW w:w="1023" w:type="dxa"/>
          </w:tcPr>
          <w:p w14:paraId="2FAD8BE8" w14:textId="2D50838F" w:rsidR="003277E0" w:rsidRPr="00E51209" w:rsidRDefault="00E51209" w:rsidP="0089158F">
            <w:pPr>
              <w:rPr>
                <w:rFonts w:ascii="Times New Roman" w:hAnsi="Times New Roman" w:cs="Times New Roman"/>
                <w:sz w:val="20"/>
                <w:szCs w:val="20"/>
              </w:rPr>
            </w:pPr>
            <w:r w:rsidRPr="00E51209">
              <w:rPr>
                <w:rFonts w:ascii="Times New Roman" w:hAnsi="Times New Roman" w:cs="Times New Roman"/>
                <w:sz w:val="20"/>
                <w:szCs w:val="20"/>
              </w:rPr>
              <w:t>Yes</w:t>
            </w:r>
            <w:r w:rsidR="0089158F">
              <w:rPr>
                <w:rFonts w:ascii="Times New Roman" w:hAnsi="Times New Roman" w:cs="Times New Roman"/>
                <w:sz w:val="20"/>
                <w:szCs w:val="20"/>
              </w:rPr>
              <w:t xml:space="preserve"> (but some new work needed) </w:t>
            </w:r>
          </w:p>
        </w:tc>
        <w:tc>
          <w:tcPr>
            <w:tcW w:w="1018" w:type="dxa"/>
          </w:tcPr>
          <w:p w14:paraId="6B25C526" w14:textId="5DDECA09" w:rsidR="003277E0" w:rsidRPr="00E51209" w:rsidRDefault="0089158F" w:rsidP="00C5161D">
            <w:pPr>
              <w:rPr>
                <w:rFonts w:ascii="Times New Roman" w:hAnsi="Times New Roman" w:cs="Times New Roman"/>
                <w:sz w:val="20"/>
                <w:szCs w:val="20"/>
                <w:lang w:eastAsia="zh-CN"/>
              </w:rPr>
            </w:pPr>
            <w:r w:rsidRPr="00E51209">
              <w:rPr>
                <w:rFonts w:ascii="Times New Roman" w:hAnsi="Times New Roman" w:cs="Times New Roman"/>
                <w:sz w:val="20"/>
                <w:szCs w:val="20"/>
              </w:rPr>
              <w:t>Yes</w:t>
            </w:r>
            <w:r>
              <w:rPr>
                <w:rFonts w:ascii="Times New Roman" w:hAnsi="Times New Roman" w:cs="Times New Roman"/>
                <w:sz w:val="20"/>
                <w:szCs w:val="20"/>
              </w:rPr>
              <w:t xml:space="preserve"> (but some new work needed)</w:t>
            </w:r>
          </w:p>
        </w:tc>
        <w:tc>
          <w:tcPr>
            <w:tcW w:w="1019" w:type="dxa"/>
            <w:shd w:val="clear" w:color="auto" w:fill="D9D9D9" w:themeFill="background1" w:themeFillShade="D9"/>
          </w:tcPr>
          <w:p w14:paraId="23092B8E" w14:textId="77777777" w:rsidR="003277E0" w:rsidRPr="00E51209" w:rsidRDefault="003277E0" w:rsidP="00C5161D">
            <w:pPr>
              <w:rPr>
                <w:rFonts w:ascii="Times New Roman" w:hAnsi="Times New Roman" w:cs="Times New Roman"/>
                <w:sz w:val="20"/>
                <w:szCs w:val="20"/>
              </w:rPr>
            </w:pPr>
          </w:p>
        </w:tc>
        <w:tc>
          <w:tcPr>
            <w:tcW w:w="858" w:type="dxa"/>
          </w:tcPr>
          <w:p w14:paraId="62FEEB68" w14:textId="46F99961" w:rsidR="003277E0" w:rsidRPr="00E51209" w:rsidRDefault="0089158F" w:rsidP="00C5161D">
            <w:pPr>
              <w:rPr>
                <w:rFonts w:ascii="Times New Roman" w:hAnsi="Times New Roman" w:cs="Times New Roman"/>
                <w:sz w:val="20"/>
                <w:szCs w:val="20"/>
              </w:rPr>
            </w:pPr>
            <w:r>
              <w:rPr>
                <w:rFonts w:ascii="Times New Roman" w:hAnsi="Times New Roman" w:cs="Times New Roman"/>
                <w:sz w:val="20"/>
                <w:szCs w:val="20"/>
              </w:rPr>
              <w:t>Yes</w:t>
            </w:r>
          </w:p>
        </w:tc>
      </w:tr>
      <w:tr w:rsidR="003277E0" w:rsidRPr="00743F69" w14:paraId="470B6F50" w14:textId="77777777" w:rsidTr="00C5161D">
        <w:tc>
          <w:tcPr>
            <w:tcW w:w="704" w:type="dxa"/>
          </w:tcPr>
          <w:p w14:paraId="720B1F3D" w14:textId="77777777" w:rsidR="003277E0" w:rsidRPr="00DB4727" w:rsidRDefault="003277E0" w:rsidP="00C5161D">
            <w:pPr>
              <w:rPr>
                <w:rFonts w:ascii="Times New Roman" w:hAnsi="Times New Roman" w:cs="Times New Roman"/>
                <w:sz w:val="20"/>
                <w:szCs w:val="20"/>
              </w:rPr>
            </w:pPr>
            <w:r w:rsidRPr="00DB4727">
              <w:rPr>
                <w:rFonts w:ascii="Times New Roman" w:hAnsi="Times New Roman" w:cs="Times New Roman"/>
                <w:sz w:val="20"/>
                <w:szCs w:val="20"/>
              </w:rPr>
              <w:t>6</w:t>
            </w:r>
          </w:p>
        </w:tc>
        <w:tc>
          <w:tcPr>
            <w:tcW w:w="4932" w:type="dxa"/>
          </w:tcPr>
          <w:p w14:paraId="2FBA56E1" w14:textId="77777777" w:rsidR="003277E0" w:rsidRPr="00DB4727" w:rsidRDefault="003277E0" w:rsidP="00C5161D">
            <w:pPr>
              <w:rPr>
                <w:rFonts w:ascii="Times New Roman" w:hAnsi="Times New Roman" w:cs="Times New Roman"/>
                <w:sz w:val="20"/>
                <w:szCs w:val="20"/>
              </w:rPr>
            </w:pPr>
            <w:r w:rsidRPr="00DB4727">
              <w:rPr>
                <w:rFonts w:ascii="Times New Roman" w:hAnsi="Times New Roman" w:cs="Times New Roman"/>
                <w:sz w:val="20"/>
                <w:szCs w:val="20"/>
              </w:rPr>
              <w:t>For the above case can the release of the bearers in excess of 8 be handled by stage 3 mechanisms?</w:t>
            </w:r>
          </w:p>
        </w:tc>
        <w:tc>
          <w:tcPr>
            <w:tcW w:w="1023" w:type="dxa"/>
          </w:tcPr>
          <w:p w14:paraId="1AA3C8FC" w14:textId="2C71DFA1" w:rsidR="003277E0" w:rsidRPr="00E51209" w:rsidRDefault="0089158F" w:rsidP="00C5161D">
            <w:pPr>
              <w:rPr>
                <w:rFonts w:ascii="Times New Roman" w:hAnsi="Times New Roman" w:cs="Times New Roman"/>
                <w:sz w:val="20"/>
                <w:szCs w:val="20"/>
              </w:rPr>
            </w:pPr>
            <w:r>
              <w:rPr>
                <w:rFonts w:ascii="Times New Roman" w:hAnsi="Times New Roman" w:cs="Times New Roman"/>
                <w:sz w:val="20"/>
                <w:szCs w:val="20"/>
              </w:rPr>
              <w:t>See above</w:t>
            </w:r>
          </w:p>
        </w:tc>
        <w:tc>
          <w:tcPr>
            <w:tcW w:w="1018" w:type="dxa"/>
          </w:tcPr>
          <w:p w14:paraId="3A4C57A6" w14:textId="279CE0DB" w:rsidR="003277E0" w:rsidRPr="00E51209" w:rsidRDefault="0089158F" w:rsidP="00C5161D">
            <w:pPr>
              <w:rPr>
                <w:rFonts w:ascii="Times New Roman" w:hAnsi="Times New Roman" w:cs="Times New Roman"/>
                <w:sz w:val="20"/>
                <w:szCs w:val="20"/>
                <w:lang w:eastAsia="zh-CN"/>
              </w:rPr>
            </w:pPr>
            <w:r>
              <w:rPr>
                <w:rFonts w:ascii="Times New Roman" w:hAnsi="Times New Roman" w:cs="Times New Roman"/>
                <w:sz w:val="20"/>
                <w:szCs w:val="20"/>
                <w:lang w:eastAsia="zh-CN"/>
              </w:rPr>
              <w:t>See above</w:t>
            </w:r>
          </w:p>
        </w:tc>
        <w:tc>
          <w:tcPr>
            <w:tcW w:w="1019" w:type="dxa"/>
            <w:shd w:val="clear" w:color="auto" w:fill="D9D9D9" w:themeFill="background1" w:themeFillShade="D9"/>
          </w:tcPr>
          <w:p w14:paraId="1DCB4A0F" w14:textId="77777777" w:rsidR="003277E0" w:rsidRPr="00E51209" w:rsidRDefault="003277E0" w:rsidP="00C5161D">
            <w:pPr>
              <w:rPr>
                <w:rFonts w:ascii="Times New Roman" w:hAnsi="Times New Roman" w:cs="Times New Roman"/>
                <w:sz w:val="20"/>
                <w:szCs w:val="20"/>
              </w:rPr>
            </w:pPr>
          </w:p>
        </w:tc>
        <w:tc>
          <w:tcPr>
            <w:tcW w:w="858" w:type="dxa"/>
          </w:tcPr>
          <w:p w14:paraId="573C801B" w14:textId="486B0255" w:rsidR="003277E0" w:rsidRPr="00E51209" w:rsidRDefault="0089158F" w:rsidP="00C5161D">
            <w:pPr>
              <w:rPr>
                <w:rFonts w:ascii="Times New Roman" w:hAnsi="Times New Roman" w:cs="Times New Roman"/>
                <w:sz w:val="20"/>
                <w:szCs w:val="20"/>
              </w:rPr>
            </w:pPr>
            <w:r>
              <w:rPr>
                <w:rFonts w:ascii="Times New Roman" w:hAnsi="Times New Roman" w:cs="Times New Roman"/>
                <w:sz w:val="20"/>
                <w:szCs w:val="20"/>
              </w:rPr>
              <w:t>Yes</w:t>
            </w:r>
          </w:p>
        </w:tc>
      </w:tr>
      <w:tr w:rsidR="003277E0" w:rsidRPr="00743F69" w14:paraId="0585B18E" w14:textId="77777777" w:rsidTr="00C5161D">
        <w:tc>
          <w:tcPr>
            <w:tcW w:w="704" w:type="dxa"/>
          </w:tcPr>
          <w:p w14:paraId="1CBA324C" w14:textId="77777777" w:rsidR="003277E0" w:rsidRPr="00DB4727" w:rsidRDefault="003277E0" w:rsidP="00C5161D">
            <w:pPr>
              <w:rPr>
                <w:rFonts w:ascii="Times New Roman" w:hAnsi="Times New Roman" w:cs="Times New Roman"/>
                <w:sz w:val="20"/>
                <w:szCs w:val="20"/>
              </w:rPr>
            </w:pPr>
            <w:r w:rsidRPr="00DB4727">
              <w:rPr>
                <w:rFonts w:ascii="Times New Roman" w:hAnsi="Times New Roman" w:cs="Times New Roman"/>
                <w:sz w:val="20"/>
                <w:szCs w:val="20"/>
              </w:rPr>
              <w:lastRenderedPageBreak/>
              <w:t>7</w:t>
            </w:r>
          </w:p>
        </w:tc>
        <w:tc>
          <w:tcPr>
            <w:tcW w:w="4932" w:type="dxa"/>
          </w:tcPr>
          <w:p w14:paraId="2E28461B" w14:textId="77777777" w:rsidR="003277E0" w:rsidRPr="00DB4727" w:rsidRDefault="003277E0" w:rsidP="00C5161D">
            <w:pPr>
              <w:rPr>
                <w:rFonts w:ascii="Times New Roman" w:hAnsi="Times New Roman" w:cs="Times New Roman"/>
                <w:sz w:val="20"/>
                <w:szCs w:val="20"/>
              </w:rPr>
            </w:pPr>
            <w:r w:rsidRPr="00DB4727">
              <w:rPr>
                <w:rFonts w:ascii="Times New Roman" w:hAnsi="Times New Roman" w:cs="Times New Roman"/>
                <w:sz w:val="20"/>
                <w:szCs w:val="20"/>
              </w:rPr>
              <w:t>Feedback on the need for a NAS-level UE capability indicator</w:t>
            </w:r>
          </w:p>
        </w:tc>
        <w:tc>
          <w:tcPr>
            <w:tcW w:w="1023" w:type="dxa"/>
          </w:tcPr>
          <w:p w14:paraId="39EAAE9E" w14:textId="3E60AF02" w:rsidR="003277E0" w:rsidRPr="00E51209" w:rsidRDefault="0089158F" w:rsidP="00C5161D">
            <w:pPr>
              <w:rPr>
                <w:rFonts w:ascii="Times New Roman" w:hAnsi="Times New Roman" w:cs="Times New Roman"/>
                <w:sz w:val="20"/>
                <w:szCs w:val="20"/>
              </w:rPr>
            </w:pPr>
            <w:r>
              <w:rPr>
                <w:rFonts w:ascii="Times New Roman" w:hAnsi="Times New Roman" w:cs="Times New Roman"/>
                <w:sz w:val="20"/>
                <w:szCs w:val="20"/>
              </w:rPr>
              <w:t>Needed</w:t>
            </w:r>
          </w:p>
        </w:tc>
        <w:tc>
          <w:tcPr>
            <w:tcW w:w="1018" w:type="dxa"/>
            <w:shd w:val="clear" w:color="auto" w:fill="D9D9D9" w:themeFill="background1" w:themeFillShade="D9"/>
          </w:tcPr>
          <w:p w14:paraId="7B39A961" w14:textId="77777777" w:rsidR="003277E0" w:rsidRPr="00E51209" w:rsidRDefault="003277E0" w:rsidP="00C5161D">
            <w:pPr>
              <w:rPr>
                <w:rFonts w:ascii="Times New Roman" w:hAnsi="Times New Roman" w:cs="Times New Roman"/>
                <w:sz w:val="20"/>
                <w:szCs w:val="20"/>
              </w:rPr>
            </w:pPr>
          </w:p>
        </w:tc>
        <w:tc>
          <w:tcPr>
            <w:tcW w:w="1019" w:type="dxa"/>
          </w:tcPr>
          <w:p w14:paraId="717F8DD1" w14:textId="1E26C22F" w:rsidR="003277E0" w:rsidRPr="00E51209" w:rsidRDefault="0089158F" w:rsidP="00C5161D">
            <w:pPr>
              <w:rPr>
                <w:rFonts w:ascii="Times New Roman" w:hAnsi="Times New Roman" w:cs="Times New Roman"/>
                <w:sz w:val="20"/>
                <w:szCs w:val="20"/>
              </w:rPr>
            </w:pPr>
            <w:r>
              <w:rPr>
                <w:rFonts w:ascii="Times New Roman" w:hAnsi="Times New Roman" w:cs="Times New Roman"/>
                <w:sz w:val="20"/>
                <w:szCs w:val="20"/>
              </w:rPr>
              <w:t>Needed</w:t>
            </w:r>
          </w:p>
        </w:tc>
        <w:tc>
          <w:tcPr>
            <w:tcW w:w="858" w:type="dxa"/>
            <w:shd w:val="clear" w:color="auto" w:fill="D9D9D9" w:themeFill="background1" w:themeFillShade="D9"/>
          </w:tcPr>
          <w:p w14:paraId="45707001" w14:textId="77777777" w:rsidR="003277E0" w:rsidRPr="00E51209" w:rsidRDefault="003277E0" w:rsidP="00C5161D">
            <w:pPr>
              <w:rPr>
                <w:rFonts w:ascii="Times New Roman" w:hAnsi="Times New Roman" w:cs="Times New Roman"/>
                <w:sz w:val="20"/>
                <w:szCs w:val="20"/>
              </w:rPr>
            </w:pPr>
          </w:p>
        </w:tc>
      </w:tr>
      <w:tr w:rsidR="003277E0" w:rsidRPr="00743F69" w14:paraId="0ECC3EA7" w14:textId="77777777" w:rsidTr="00C5161D">
        <w:tc>
          <w:tcPr>
            <w:tcW w:w="704" w:type="dxa"/>
          </w:tcPr>
          <w:p w14:paraId="74F94A3B" w14:textId="77777777" w:rsidR="003277E0" w:rsidRPr="00DB4727" w:rsidRDefault="003277E0" w:rsidP="00C5161D">
            <w:pPr>
              <w:rPr>
                <w:rFonts w:ascii="Times New Roman" w:hAnsi="Times New Roman" w:cs="Times New Roman"/>
                <w:sz w:val="20"/>
                <w:szCs w:val="20"/>
              </w:rPr>
            </w:pPr>
            <w:r w:rsidRPr="00DB4727">
              <w:rPr>
                <w:rFonts w:ascii="Times New Roman" w:hAnsi="Times New Roman" w:cs="Times New Roman"/>
                <w:sz w:val="20"/>
                <w:szCs w:val="20"/>
              </w:rPr>
              <w:t>8</w:t>
            </w:r>
          </w:p>
        </w:tc>
        <w:tc>
          <w:tcPr>
            <w:tcW w:w="4932" w:type="dxa"/>
          </w:tcPr>
          <w:p w14:paraId="1AA1BBBD" w14:textId="77777777" w:rsidR="003277E0" w:rsidRPr="00DB4727" w:rsidRDefault="003277E0" w:rsidP="00C5161D">
            <w:pPr>
              <w:rPr>
                <w:rFonts w:ascii="Times New Roman" w:hAnsi="Times New Roman" w:cs="Times New Roman"/>
                <w:sz w:val="20"/>
                <w:szCs w:val="20"/>
              </w:rPr>
            </w:pPr>
            <w:r w:rsidRPr="00DB4727">
              <w:rPr>
                <w:rFonts w:ascii="Times New Roman" w:hAnsi="Times New Roman" w:cs="Times New Roman"/>
                <w:sz w:val="20"/>
                <w:szCs w:val="20"/>
              </w:rPr>
              <w:t>Will the MME reject the TAU request if the UE provide EPS bearer status with active flag for EBI[1-4]?</w:t>
            </w:r>
          </w:p>
        </w:tc>
        <w:tc>
          <w:tcPr>
            <w:tcW w:w="1023" w:type="dxa"/>
          </w:tcPr>
          <w:p w14:paraId="2455635B" w14:textId="1325554D" w:rsidR="003277E0" w:rsidRPr="00E51209" w:rsidRDefault="0089158F" w:rsidP="00C5161D">
            <w:pPr>
              <w:rPr>
                <w:rFonts w:ascii="Times New Roman" w:hAnsi="Times New Roman" w:cs="Times New Roman"/>
                <w:sz w:val="20"/>
                <w:szCs w:val="20"/>
              </w:rPr>
            </w:pPr>
            <w:r>
              <w:rPr>
                <w:rFonts w:ascii="Times New Roman" w:hAnsi="Times New Roman" w:cs="Times New Roman"/>
                <w:sz w:val="20"/>
                <w:szCs w:val="20"/>
              </w:rPr>
              <w:t>No</w:t>
            </w:r>
          </w:p>
        </w:tc>
        <w:tc>
          <w:tcPr>
            <w:tcW w:w="1018" w:type="dxa"/>
            <w:shd w:val="clear" w:color="auto" w:fill="D9D9D9" w:themeFill="background1" w:themeFillShade="D9"/>
          </w:tcPr>
          <w:p w14:paraId="7AD1504E" w14:textId="77777777" w:rsidR="003277E0" w:rsidRPr="00E51209" w:rsidRDefault="003277E0" w:rsidP="00C5161D">
            <w:pPr>
              <w:rPr>
                <w:rFonts w:ascii="Times New Roman" w:hAnsi="Times New Roman" w:cs="Times New Roman"/>
                <w:sz w:val="20"/>
                <w:szCs w:val="20"/>
              </w:rPr>
            </w:pPr>
          </w:p>
        </w:tc>
        <w:tc>
          <w:tcPr>
            <w:tcW w:w="1019" w:type="dxa"/>
            <w:shd w:val="clear" w:color="auto" w:fill="D9D9D9" w:themeFill="background1" w:themeFillShade="D9"/>
          </w:tcPr>
          <w:p w14:paraId="4B02ADA8" w14:textId="77777777" w:rsidR="003277E0" w:rsidRPr="00E51209" w:rsidRDefault="003277E0" w:rsidP="00C5161D">
            <w:pPr>
              <w:rPr>
                <w:rFonts w:ascii="Times New Roman" w:hAnsi="Times New Roman" w:cs="Times New Roman"/>
                <w:sz w:val="20"/>
                <w:szCs w:val="20"/>
              </w:rPr>
            </w:pPr>
          </w:p>
        </w:tc>
        <w:tc>
          <w:tcPr>
            <w:tcW w:w="858" w:type="dxa"/>
            <w:shd w:val="clear" w:color="auto" w:fill="D9D9D9" w:themeFill="background1" w:themeFillShade="D9"/>
          </w:tcPr>
          <w:p w14:paraId="40CCE078" w14:textId="77777777" w:rsidR="003277E0" w:rsidRPr="00E51209" w:rsidRDefault="003277E0" w:rsidP="00C5161D">
            <w:pPr>
              <w:rPr>
                <w:rFonts w:ascii="Times New Roman" w:hAnsi="Times New Roman" w:cs="Times New Roman"/>
                <w:sz w:val="20"/>
                <w:szCs w:val="20"/>
              </w:rPr>
            </w:pPr>
          </w:p>
        </w:tc>
      </w:tr>
      <w:tr w:rsidR="003277E0" w:rsidRPr="00743F69" w14:paraId="7B8EA1C1" w14:textId="77777777" w:rsidTr="00C5161D">
        <w:tc>
          <w:tcPr>
            <w:tcW w:w="704" w:type="dxa"/>
          </w:tcPr>
          <w:p w14:paraId="4C8C4517" w14:textId="77777777" w:rsidR="003277E0" w:rsidRPr="00DB4727" w:rsidRDefault="003277E0" w:rsidP="00B17E90">
            <w:pPr>
              <w:rPr>
                <w:rFonts w:ascii="Times New Roman" w:hAnsi="Times New Roman" w:cs="Times New Roman"/>
                <w:sz w:val="20"/>
                <w:szCs w:val="20"/>
              </w:rPr>
            </w:pPr>
            <w:r w:rsidRPr="00DB4727">
              <w:rPr>
                <w:rFonts w:ascii="Times New Roman" w:hAnsi="Times New Roman" w:cs="Times New Roman"/>
                <w:sz w:val="20"/>
                <w:szCs w:val="20"/>
              </w:rPr>
              <w:t>9</w:t>
            </w:r>
          </w:p>
        </w:tc>
        <w:tc>
          <w:tcPr>
            <w:tcW w:w="4932" w:type="dxa"/>
          </w:tcPr>
          <w:p w14:paraId="3C435494" w14:textId="77777777" w:rsidR="003277E0" w:rsidRPr="00DB4727" w:rsidRDefault="003277E0" w:rsidP="00B17E90">
            <w:pPr>
              <w:rPr>
                <w:rFonts w:ascii="Times New Roman" w:hAnsi="Times New Roman" w:cs="Times New Roman"/>
                <w:sz w:val="20"/>
                <w:szCs w:val="20"/>
              </w:rPr>
            </w:pPr>
            <w:r w:rsidRPr="00DB4727">
              <w:rPr>
                <w:rFonts w:ascii="Times New Roman" w:hAnsi="Times New Roman" w:cs="Times New Roman"/>
                <w:sz w:val="20"/>
                <w:szCs w:val="20"/>
              </w:rPr>
              <w:t>Can Stage 3 defined mechanisms cover the error scenarios where the MME allocates an EPS bearer ID value outside if the current valid range (5..15) in its response to the SGW/PGW in (for example) the Dedicated Bearer Activation procedure?</w:t>
            </w:r>
          </w:p>
        </w:tc>
        <w:tc>
          <w:tcPr>
            <w:tcW w:w="1023" w:type="dxa"/>
            <w:shd w:val="clear" w:color="auto" w:fill="D9D9D9" w:themeFill="background1" w:themeFillShade="D9"/>
          </w:tcPr>
          <w:p w14:paraId="7E1087B4" w14:textId="77777777" w:rsidR="003277E0" w:rsidRPr="00E51209" w:rsidRDefault="003277E0" w:rsidP="00B17E90">
            <w:pPr>
              <w:rPr>
                <w:rFonts w:ascii="Times New Roman" w:hAnsi="Times New Roman" w:cs="Times New Roman"/>
                <w:sz w:val="20"/>
                <w:szCs w:val="20"/>
              </w:rPr>
            </w:pPr>
          </w:p>
        </w:tc>
        <w:tc>
          <w:tcPr>
            <w:tcW w:w="1018" w:type="dxa"/>
            <w:shd w:val="clear" w:color="auto" w:fill="FFFFFF" w:themeFill="background1"/>
          </w:tcPr>
          <w:p w14:paraId="05704118" w14:textId="47014237" w:rsidR="003277E0" w:rsidRPr="00E51209" w:rsidRDefault="00B6249F" w:rsidP="00B17E90">
            <w:pPr>
              <w:rPr>
                <w:rFonts w:ascii="Times New Roman" w:hAnsi="Times New Roman" w:cs="Times New Roman"/>
                <w:sz w:val="20"/>
                <w:szCs w:val="20"/>
              </w:rPr>
            </w:pPr>
            <w:r>
              <w:rPr>
                <w:rFonts w:ascii="Times New Roman" w:hAnsi="Times New Roman" w:cs="Times New Roman"/>
                <w:sz w:val="20"/>
                <w:szCs w:val="20"/>
              </w:rPr>
              <w:t>Potential issue for handover</w:t>
            </w:r>
          </w:p>
        </w:tc>
        <w:tc>
          <w:tcPr>
            <w:tcW w:w="1019" w:type="dxa"/>
            <w:shd w:val="clear" w:color="auto" w:fill="D9D9D9" w:themeFill="background1" w:themeFillShade="D9"/>
          </w:tcPr>
          <w:p w14:paraId="3E7DE766" w14:textId="77777777" w:rsidR="003277E0" w:rsidRPr="00E51209" w:rsidRDefault="003277E0" w:rsidP="00B17E90">
            <w:pPr>
              <w:rPr>
                <w:rFonts w:ascii="Times New Roman" w:hAnsi="Times New Roman" w:cs="Times New Roman"/>
                <w:sz w:val="20"/>
                <w:szCs w:val="20"/>
              </w:rPr>
            </w:pPr>
          </w:p>
        </w:tc>
        <w:tc>
          <w:tcPr>
            <w:tcW w:w="858" w:type="dxa"/>
            <w:shd w:val="clear" w:color="auto" w:fill="D9D9D9" w:themeFill="background1" w:themeFillShade="D9"/>
          </w:tcPr>
          <w:p w14:paraId="7F22F7F0" w14:textId="77777777" w:rsidR="003277E0" w:rsidRPr="00E51209" w:rsidRDefault="003277E0" w:rsidP="00B17E90">
            <w:pPr>
              <w:rPr>
                <w:rFonts w:ascii="Times New Roman" w:hAnsi="Times New Roman" w:cs="Times New Roman"/>
                <w:sz w:val="20"/>
                <w:szCs w:val="20"/>
              </w:rPr>
            </w:pPr>
          </w:p>
        </w:tc>
      </w:tr>
    </w:tbl>
    <w:p w14:paraId="681E3E36" w14:textId="77777777" w:rsidR="003277E0" w:rsidRPr="0071695B" w:rsidRDefault="003277E0" w:rsidP="008903FB"/>
    <w:p w14:paraId="5CE80E3A" w14:textId="15ADF40C" w:rsidR="008903FB" w:rsidRPr="000343FC" w:rsidRDefault="008903FB" w:rsidP="00DD78E5">
      <w:pPr>
        <w:pStyle w:val="ListParagraph"/>
        <w:numPr>
          <w:ilvl w:val="0"/>
          <w:numId w:val="16"/>
        </w:numPr>
        <w:ind w:firstLineChars="0"/>
      </w:pPr>
      <w:r w:rsidRPr="000343FC">
        <w:t>Support of 15 EPS Bearers within the MME pool area can assumed to be homogeneous?</w:t>
      </w:r>
    </w:p>
    <w:p w14:paraId="7D5B104C" w14:textId="1EBA81B6" w:rsidR="00DD78E5" w:rsidRPr="000343FC" w:rsidRDefault="008903FB" w:rsidP="00DD78E5">
      <w:pPr>
        <w:pStyle w:val="ListParagraph"/>
        <w:numPr>
          <w:ilvl w:val="1"/>
          <w:numId w:val="16"/>
        </w:numPr>
        <w:ind w:firstLineChars="0"/>
      </w:pPr>
      <w:r w:rsidRPr="000343FC">
        <w:t>It seem</w:t>
      </w:r>
      <w:r w:rsidR="000343FC" w:rsidRPr="000343FC">
        <w:t>ed</w:t>
      </w:r>
      <w:r w:rsidRPr="000343FC">
        <w:t xml:space="preserve"> OK </w:t>
      </w:r>
      <w:r w:rsidR="00DD78E5">
        <w:t xml:space="preserve">with the participants </w:t>
      </w:r>
      <w:r w:rsidRPr="000343FC">
        <w:t>to take the assumption of homogeneity. Although there are stage 3 mechanisms</w:t>
      </w:r>
      <w:r w:rsidR="00DD78E5">
        <w:t xml:space="preserve"> that can handle non-homogeneity, i</w:t>
      </w:r>
      <w:r w:rsidRPr="000343FC">
        <w:t>f there is mixed support level then not only user experience but error KPIs will be impac</w:t>
      </w:r>
      <w:r w:rsidR="00E51209">
        <w:t>ted (if error handling is used)</w:t>
      </w:r>
    </w:p>
    <w:p w14:paraId="5E1E58C0" w14:textId="7788ED86" w:rsidR="008903FB" w:rsidRPr="000343FC" w:rsidRDefault="008903FB" w:rsidP="00DD78E5">
      <w:pPr>
        <w:pStyle w:val="ListParagraph"/>
        <w:numPr>
          <w:ilvl w:val="0"/>
          <w:numId w:val="16"/>
        </w:numPr>
        <w:ind w:firstLineChars="0"/>
      </w:pPr>
      <w:r w:rsidRPr="000343FC">
        <w:t>Support of 15 EPS bearers within the SGW service area can assumed to be homogeneous?</w:t>
      </w:r>
    </w:p>
    <w:p w14:paraId="4D3FA8BF" w14:textId="77777777" w:rsidR="008903FB" w:rsidRPr="000343FC" w:rsidRDefault="008903FB" w:rsidP="00DD78E5">
      <w:pPr>
        <w:pStyle w:val="ListParagraph"/>
        <w:numPr>
          <w:ilvl w:val="1"/>
          <w:numId w:val="16"/>
        </w:numPr>
        <w:ind w:firstLineChars="0"/>
      </w:pPr>
      <w:r w:rsidRPr="000343FC">
        <w:t>See above</w:t>
      </w:r>
    </w:p>
    <w:p w14:paraId="1E398FEA" w14:textId="5B0D378C" w:rsidR="008903FB" w:rsidRDefault="008903FB" w:rsidP="00DD78E5">
      <w:pPr>
        <w:pStyle w:val="ListParagraph"/>
        <w:numPr>
          <w:ilvl w:val="0"/>
          <w:numId w:val="16"/>
        </w:numPr>
        <w:ind w:firstLineChars="0"/>
      </w:pPr>
      <w:r w:rsidRPr="000343FC">
        <w:t>If not all eNBs within an MME pool area support 15 bearers and the MMEs all support 15 bearers is there likely to be significant impact on X2AP and S1AP specifications?</w:t>
      </w:r>
    </w:p>
    <w:p w14:paraId="2518D818" w14:textId="46841F63" w:rsidR="00DD78E5" w:rsidRPr="000343FC" w:rsidRDefault="00DD78E5" w:rsidP="00DD78E5">
      <w:pPr>
        <w:pStyle w:val="ListParagraph"/>
        <w:numPr>
          <w:ilvl w:val="1"/>
          <w:numId w:val="16"/>
        </w:numPr>
        <w:ind w:firstLineChars="0"/>
      </w:pPr>
      <w:r w:rsidRPr="00DD78E5">
        <w:t>Receiving eNB not supporting 15 bearers can indicate in the E-RABs Not Admitted List IE in the Response message.</w:t>
      </w:r>
    </w:p>
    <w:p w14:paraId="1B7D797A" w14:textId="794B8B69" w:rsidR="008903FB" w:rsidRPr="000343FC" w:rsidRDefault="008903FB" w:rsidP="00DD78E5">
      <w:pPr>
        <w:pStyle w:val="ListParagraph"/>
        <w:numPr>
          <w:ilvl w:val="0"/>
          <w:numId w:val="16"/>
        </w:numPr>
        <w:ind w:firstLineChars="0"/>
      </w:pPr>
      <w:r w:rsidRPr="000343FC">
        <w:t>If the assumption is not taken of homogeneity under MME Pool Area/SGW serving area, would this impact completion of INOBEAR Stage 3 in Release 15?</w:t>
      </w:r>
    </w:p>
    <w:p w14:paraId="37AA0960" w14:textId="53A3DEA2" w:rsidR="008903FB" w:rsidRPr="000343FC" w:rsidRDefault="00E51209" w:rsidP="00E51209">
      <w:pPr>
        <w:pStyle w:val="ListParagraph"/>
        <w:numPr>
          <w:ilvl w:val="1"/>
          <w:numId w:val="16"/>
        </w:numPr>
        <w:ind w:firstLineChars="0"/>
      </w:pPr>
      <w:r>
        <w:t>Stage 3 can handle this.</w:t>
      </w:r>
    </w:p>
    <w:p w14:paraId="72891217" w14:textId="7A6D7E51" w:rsidR="008903FB" w:rsidRPr="000343FC" w:rsidRDefault="008903FB" w:rsidP="00DD78E5">
      <w:pPr>
        <w:pStyle w:val="ListParagraph"/>
        <w:numPr>
          <w:ilvl w:val="0"/>
          <w:numId w:val="16"/>
        </w:numPr>
        <w:ind w:firstLineChars="0"/>
      </w:pPr>
      <w:r w:rsidRPr="000343FC">
        <w:t xml:space="preserve">For idle mode mobility and HO, can Stage 3 defined error handling handle the release of bearers that were allocated EPS Bearer ID values that are not supported before Release 15? </w:t>
      </w:r>
    </w:p>
    <w:p w14:paraId="6C336B40" w14:textId="25EF7BF9" w:rsidR="008903FB" w:rsidRPr="000343FC" w:rsidRDefault="008903FB" w:rsidP="0089158F">
      <w:pPr>
        <w:pStyle w:val="ListParagraph"/>
        <w:numPr>
          <w:ilvl w:val="1"/>
          <w:numId w:val="16"/>
        </w:numPr>
        <w:ind w:firstLineChars="0"/>
      </w:pPr>
      <w:r w:rsidRPr="000343FC">
        <w:t>CT4 mechanisms of idle mode mobility is OK, but HO could be an issue (left to implementation what happens)</w:t>
      </w:r>
      <w:r w:rsidR="0089158F">
        <w:t xml:space="preserve">. </w:t>
      </w:r>
      <w:r w:rsidRPr="000343FC">
        <w:t>The idea is to go beyond what is already there by making use of forward compatibility (additional</w:t>
      </w:r>
      <w:r w:rsidR="0089158F">
        <w:t xml:space="preserve"> IE, for example).</w:t>
      </w:r>
    </w:p>
    <w:p w14:paraId="75A1AF5E" w14:textId="707DFD78" w:rsidR="008903FB" w:rsidRPr="000343FC" w:rsidRDefault="008903FB" w:rsidP="00DD78E5">
      <w:pPr>
        <w:pStyle w:val="ListParagraph"/>
        <w:numPr>
          <w:ilvl w:val="0"/>
          <w:numId w:val="16"/>
        </w:numPr>
        <w:ind w:firstLineChars="0"/>
      </w:pPr>
      <w:r w:rsidRPr="000343FC">
        <w:t>For the above case can the release of the bearers in excess of 8 be handled by stage 3 mechanisms?</w:t>
      </w:r>
    </w:p>
    <w:p w14:paraId="56D19FE9" w14:textId="77777777" w:rsidR="008903FB" w:rsidRPr="000343FC" w:rsidRDefault="008903FB" w:rsidP="0089158F">
      <w:pPr>
        <w:pStyle w:val="ListParagraph"/>
        <w:numPr>
          <w:ilvl w:val="1"/>
          <w:numId w:val="16"/>
        </w:numPr>
        <w:ind w:firstLineChars="0"/>
      </w:pPr>
      <w:r w:rsidRPr="000343FC">
        <w:t>See above</w:t>
      </w:r>
    </w:p>
    <w:p w14:paraId="42F083BD" w14:textId="4C454960" w:rsidR="008903FB" w:rsidRPr="000343FC" w:rsidRDefault="008903FB" w:rsidP="00DD78E5">
      <w:pPr>
        <w:pStyle w:val="ListParagraph"/>
        <w:numPr>
          <w:ilvl w:val="0"/>
          <w:numId w:val="16"/>
        </w:numPr>
        <w:ind w:firstLineChars="0"/>
      </w:pPr>
      <w:r w:rsidRPr="000343FC">
        <w:t>Feedback on the need for a NAS-level UE capability indicator</w:t>
      </w:r>
    </w:p>
    <w:p w14:paraId="1FFAB830" w14:textId="3EBEF242" w:rsidR="008903FB" w:rsidRPr="000343FC" w:rsidRDefault="0089158F" w:rsidP="0089158F">
      <w:pPr>
        <w:pStyle w:val="ListParagraph"/>
        <w:numPr>
          <w:ilvl w:val="1"/>
          <w:numId w:val="16"/>
        </w:numPr>
        <w:ind w:firstLineChars="0"/>
      </w:pPr>
      <w:r>
        <w:t>Several companies believe it is needed, and should be a Yes/No (ie support for up to 15 bearers, or not)</w:t>
      </w:r>
    </w:p>
    <w:p w14:paraId="0F4BBEA3" w14:textId="1BBCE2BD" w:rsidR="008903FB" w:rsidRPr="000343FC" w:rsidRDefault="008903FB" w:rsidP="00DD78E5">
      <w:pPr>
        <w:pStyle w:val="ListParagraph"/>
        <w:numPr>
          <w:ilvl w:val="0"/>
          <w:numId w:val="16"/>
        </w:numPr>
        <w:ind w:firstLineChars="0"/>
      </w:pPr>
      <w:r w:rsidRPr="000343FC">
        <w:t>Will the MME reject the TAU request if the UE provide EPS bearer status with active flag for EBI[1-4]?</w:t>
      </w:r>
    </w:p>
    <w:p w14:paraId="67DD2138" w14:textId="6C2644AB" w:rsidR="008903FB" w:rsidRPr="000343FC" w:rsidRDefault="0089158F" w:rsidP="0089158F">
      <w:pPr>
        <w:pStyle w:val="ListParagraph"/>
        <w:numPr>
          <w:ilvl w:val="1"/>
          <w:numId w:val="16"/>
        </w:numPr>
        <w:ind w:firstLineChars="0"/>
      </w:pPr>
      <w:r>
        <w:t>Several companies indicated no.</w:t>
      </w:r>
    </w:p>
    <w:p w14:paraId="29504F6A" w14:textId="1A462425" w:rsidR="008903FB" w:rsidRPr="000343FC" w:rsidRDefault="008903FB" w:rsidP="00DD78E5">
      <w:pPr>
        <w:pStyle w:val="ListParagraph"/>
        <w:numPr>
          <w:ilvl w:val="0"/>
          <w:numId w:val="16"/>
        </w:numPr>
        <w:ind w:firstLineChars="0"/>
      </w:pPr>
      <w:r w:rsidRPr="000343FC">
        <w:t>Can Stage 3 defined mechanisms cover the error scenarios where the MME allocates an EPS bearer ID value outside if the current valid range (5..15) in its response to the SGW/PGW in (for example) the Dedicated Bearer Activation procedure?</w:t>
      </w:r>
    </w:p>
    <w:p w14:paraId="50A24B7E" w14:textId="77777777" w:rsidR="00B6249F" w:rsidRDefault="00B6249F" w:rsidP="00B6249F">
      <w:pPr>
        <w:pStyle w:val="ListParagraph"/>
        <w:numPr>
          <w:ilvl w:val="1"/>
          <w:numId w:val="16"/>
        </w:numPr>
        <w:ind w:firstLineChars="0"/>
      </w:pPr>
      <w:r>
        <w:t xml:space="preserve">Yes for Scenario towards SGW, but potential issue for handover </w:t>
      </w:r>
    </w:p>
    <w:p w14:paraId="48D0EA80" w14:textId="06F32A37" w:rsidR="008903FB" w:rsidRPr="004E2BCE" w:rsidRDefault="00B8036F" w:rsidP="008903FB">
      <w:r>
        <w:t>Based on these conclusions</w:t>
      </w:r>
      <w:r w:rsidR="00885B4C">
        <w:t xml:space="preserve"> at least</w:t>
      </w:r>
      <w:r>
        <w:t xml:space="preserve"> the following contributions are planned for the next round of meetings:</w:t>
      </w:r>
    </w:p>
    <w:p w14:paraId="11C10266" w14:textId="77777777" w:rsidR="008903FB" w:rsidRDefault="008903FB" w:rsidP="008903FB">
      <w:pPr>
        <w:pStyle w:val="ListParagraph"/>
        <w:numPr>
          <w:ilvl w:val="0"/>
          <w:numId w:val="13"/>
        </w:numPr>
        <w:spacing w:after="200" w:line="276" w:lineRule="auto"/>
        <w:ind w:firstLineChars="0"/>
        <w:contextualSpacing/>
      </w:pPr>
      <w:r>
        <w:t>SA2</w:t>
      </w:r>
    </w:p>
    <w:p w14:paraId="3485CAFD" w14:textId="77777777" w:rsidR="008903FB" w:rsidRDefault="008903FB" w:rsidP="008903FB">
      <w:pPr>
        <w:pStyle w:val="ListParagraph"/>
        <w:numPr>
          <w:ilvl w:val="1"/>
          <w:numId w:val="13"/>
        </w:numPr>
        <w:spacing w:after="200" w:line="276" w:lineRule="auto"/>
        <w:ind w:firstLineChars="0"/>
        <w:contextualSpacing/>
      </w:pPr>
      <w:r>
        <w:t>QC paper on NAS UE capability indication (both directions)</w:t>
      </w:r>
    </w:p>
    <w:p w14:paraId="0BC90DC7" w14:textId="77777777" w:rsidR="008903FB" w:rsidRDefault="008903FB" w:rsidP="008903FB">
      <w:pPr>
        <w:pStyle w:val="ListParagraph"/>
        <w:numPr>
          <w:ilvl w:val="2"/>
          <w:numId w:val="13"/>
        </w:numPr>
        <w:spacing w:after="200" w:line="276" w:lineRule="auto"/>
        <w:ind w:firstLineChars="0"/>
        <w:contextualSpacing/>
      </w:pPr>
      <w:r>
        <w:lastRenderedPageBreak/>
        <w:t>Needed to prevent the CN from establishing too many bearers (bearer establishment is CN-initiated). Similar situation existed for NB-IOT UEs that only supported up to 2 DRBs. If the UE doesn’t know the MME capability it could request bearer resource allocation and get a rejection (cause 65 = max EPS bearers reached) and assume that is the case for the whole PLMN</w:t>
      </w:r>
    </w:p>
    <w:p w14:paraId="3B2231CF" w14:textId="77777777" w:rsidR="008903FB" w:rsidRDefault="008903FB" w:rsidP="008903FB">
      <w:pPr>
        <w:pStyle w:val="ListParagraph"/>
        <w:numPr>
          <w:ilvl w:val="1"/>
          <w:numId w:val="13"/>
        </w:numPr>
        <w:spacing w:after="200" w:line="276" w:lineRule="auto"/>
        <w:ind w:firstLineChars="0"/>
        <w:contextualSpacing/>
      </w:pPr>
      <w:r>
        <w:t>Ericsson paper on homogeneity</w:t>
      </w:r>
    </w:p>
    <w:p w14:paraId="29DD939D" w14:textId="77777777" w:rsidR="008903FB" w:rsidRDefault="008903FB" w:rsidP="008903FB">
      <w:pPr>
        <w:pStyle w:val="ListParagraph"/>
        <w:numPr>
          <w:ilvl w:val="2"/>
          <w:numId w:val="13"/>
        </w:numPr>
        <w:spacing w:after="200" w:line="276" w:lineRule="auto"/>
        <w:ind w:firstLineChars="0"/>
        <w:contextualSpacing/>
      </w:pPr>
      <w:r>
        <w:t>Clarifies that support for up to 15 EPS bearers per UE is based on a homogeneous deployment.</w:t>
      </w:r>
    </w:p>
    <w:p w14:paraId="3474B777" w14:textId="77777777" w:rsidR="008903FB" w:rsidRDefault="008903FB" w:rsidP="008903FB">
      <w:pPr>
        <w:pStyle w:val="ListParagraph"/>
        <w:numPr>
          <w:ilvl w:val="2"/>
          <w:numId w:val="13"/>
        </w:numPr>
        <w:spacing w:after="200" w:line="276" w:lineRule="auto"/>
        <w:ind w:firstLineChars="0"/>
        <w:contextualSpacing/>
      </w:pPr>
      <w:r>
        <w:t>The UE always execute a mobility TAU procedure when existing a supporting area to enable the supporting area to remove resources not supported outside the supporting area.</w:t>
      </w:r>
    </w:p>
    <w:p w14:paraId="7CAF2A5E" w14:textId="435A642D" w:rsidR="008903FB" w:rsidRDefault="008903FB" w:rsidP="008903FB">
      <w:pPr>
        <w:pStyle w:val="ListParagraph"/>
        <w:numPr>
          <w:ilvl w:val="1"/>
          <w:numId w:val="13"/>
        </w:numPr>
        <w:spacing w:after="200" w:line="276" w:lineRule="auto"/>
        <w:ind w:firstLineChars="0"/>
        <w:contextualSpacing/>
      </w:pPr>
      <w:r>
        <w:t>Telstra</w:t>
      </w:r>
      <w:r w:rsidR="00B8036F">
        <w:t xml:space="preserve"> CRs on </w:t>
      </w:r>
      <w:r w:rsidR="00B82B6A">
        <w:t>mobility procedures (based on previously submitted CRs)</w:t>
      </w:r>
    </w:p>
    <w:p w14:paraId="03F386B9" w14:textId="273BA3FF" w:rsidR="008903FB" w:rsidRDefault="00B8036F" w:rsidP="008903FB">
      <w:pPr>
        <w:pStyle w:val="ListParagraph"/>
        <w:numPr>
          <w:ilvl w:val="1"/>
          <w:numId w:val="13"/>
        </w:numPr>
        <w:spacing w:after="200" w:line="276" w:lineRule="auto"/>
        <w:ind w:firstLineChars="0"/>
        <w:contextualSpacing/>
      </w:pPr>
      <w:r>
        <w:t>U</w:t>
      </w:r>
      <w:r w:rsidR="008903FB">
        <w:t>pdated INOBEAR living docu</w:t>
      </w:r>
      <w:r>
        <w:t xml:space="preserve">ment on assumptions/key issues based on the </w:t>
      </w:r>
      <w:r w:rsidR="008903FB">
        <w:t>conclusions reached (Samsung)</w:t>
      </w:r>
    </w:p>
    <w:p w14:paraId="30841E81" w14:textId="77777777" w:rsidR="008903FB" w:rsidRDefault="008903FB" w:rsidP="008903FB">
      <w:pPr>
        <w:pStyle w:val="ListParagraph"/>
        <w:numPr>
          <w:ilvl w:val="0"/>
          <w:numId w:val="13"/>
        </w:numPr>
        <w:spacing w:after="200" w:line="276" w:lineRule="auto"/>
        <w:ind w:firstLineChars="0"/>
        <w:contextualSpacing/>
      </w:pPr>
      <w:r>
        <w:t>CT1</w:t>
      </w:r>
    </w:p>
    <w:p w14:paraId="579316A6" w14:textId="4FA2C305" w:rsidR="008903FB" w:rsidRDefault="008903FB" w:rsidP="008903FB">
      <w:pPr>
        <w:pStyle w:val="ListParagraph"/>
        <w:numPr>
          <w:ilvl w:val="1"/>
          <w:numId w:val="13"/>
        </w:numPr>
        <w:spacing w:after="200" w:line="276" w:lineRule="auto"/>
        <w:ind w:firstLineChars="0"/>
        <w:contextualSpacing/>
      </w:pPr>
      <w:r>
        <w:t>QC Discussi</w:t>
      </w:r>
      <w:r w:rsidR="00B8036F">
        <w:t>on paper in line with the above</w:t>
      </w:r>
    </w:p>
    <w:p w14:paraId="40D8CBB3" w14:textId="1FF960F1" w:rsidR="008903FB" w:rsidRDefault="008903FB" w:rsidP="008903FB">
      <w:pPr>
        <w:pStyle w:val="ListParagraph"/>
        <w:numPr>
          <w:ilvl w:val="1"/>
          <w:numId w:val="13"/>
        </w:numPr>
        <w:spacing w:after="200" w:line="276" w:lineRule="auto"/>
        <w:ind w:firstLineChars="0"/>
        <w:contextualSpacing/>
      </w:pPr>
      <w:r>
        <w:t xml:space="preserve">CR from QC in line with the above that could </w:t>
      </w:r>
      <w:r w:rsidR="00B8036F">
        <w:t>be agreed if SA2 agree their CR</w:t>
      </w:r>
    </w:p>
    <w:p w14:paraId="580B735C" w14:textId="1242824B" w:rsidR="008903FB" w:rsidRDefault="008903FB" w:rsidP="008903FB">
      <w:pPr>
        <w:pStyle w:val="ListParagraph"/>
        <w:numPr>
          <w:ilvl w:val="1"/>
          <w:numId w:val="13"/>
        </w:numPr>
        <w:spacing w:after="200" w:line="276" w:lineRule="auto"/>
        <w:ind w:firstLineChars="0"/>
        <w:contextualSpacing/>
      </w:pPr>
      <w:r w:rsidRPr="000D3337">
        <w:t xml:space="preserve">E/// proposal for having new IEs and not using spare and reserved bits, </w:t>
      </w:r>
      <w:r>
        <w:t xml:space="preserve">will </w:t>
      </w:r>
      <w:r w:rsidRPr="000D3337">
        <w:t>try and align the CT</w:t>
      </w:r>
      <w:r w:rsidR="00B8036F">
        <w:t>1 solution with what CT4 decide</w:t>
      </w:r>
    </w:p>
    <w:p w14:paraId="4A556863" w14:textId="6ABCCC96" w:rsidR="008903FB" w:rsidRDefault="00B8036F" w:rsidP="008903FB">
      <w:pPr>
        <w:pStyle w:val="ListParagraph"/>
        <w:numPr>
          <w:ilvl w:val="1"/>
          <w:numId w:val="13"/>
        </w:numPr>
        <w:spacing w:after="200" w:line="276" w:lineRule="auto"/>
        <w:ind w:firstLineChars="0"/>
        <w:contextualSpacing/>
      </w:pPr>
      <w:r>
        <w:t>LS being drafted by Samsung</w:t>
      </w:r>
    </w:p>
    <w:p w14:paraId="4992813F" w14:textId="77777777" w:rsidR="008903FB" w:rsidRDefault="008903FB" w:rsidP="008903FB">
      <w:pPr>
        <w:pStyle w:val="ListParagraph"/>
        <w:numPr>
          <w:ilvl w:val="2"/>
          <w:numId w:val="13"/>
        </w:numPr>
        <w:spacing w:after="200" w:line="276" w:lineRule="auto"/>
        <w:ind w:firstLineChars="0"/>
        <w:contextualSpacing/>
      </w:pPr>
      <w:r>
        <w:t>Homogeneity is OK to be assumed from a CT1 perspective as there are no specification impacts</w:t>
      </w:r>
    </w:p>
    <w:p w14:paraId="14751B37" w14:textId="77777777" w:rsidR="008903FB" w:rsidRDefault="008903FB" w:rsidP="008903FB">
      <w:pPr>
        <w:pStyle w:val="ListParagraph"/>
        <w:numPr>
          <w:ilvl w:val="2"/>
          <w:numId w:val="13"/>
        </w:numPr>
        <w:spacing w:after="200" w:line="276" w:lineRule="auto"/>
        <w:ind w:firstLineChars="0"/>
        <w:contextualSpacing/>
      </w:pPr>
      <w:r>
        <w:t>Error handling mechanisms can handle the release of bearers that were allocated EPS Bearer ID values that are not supported before Release 15 and also stage-3 can define mechanisms to release the bearers in excess of 8 bearers. To handle this CT1 will introduce three new IEs, Extended EPS bearer context status IE, Extended EPS bearer identity IE and Extended Linked EPS bearer identity IE which will be used by Rel-15 INOBEAR supporting network nodes when more than 8 simultaneous EPS bearers are active and EPS bearers assigned using this new IEs will be released during mobility to a pre release-15 network node.</w:t>
      </w:r>
    </w:p>
    <w:p w14:paraId="6BA1D1D6" w14:textId="77777777" w:rsidR="008903FB" w:rsidRPr="009B4473" w:rsidRDefault="008903FB" w:rsidP="008903FB">
      <w:pPr>
        <w:pStyle w:val="ListParagraph"/>
        <w:numPr>
          <w:ilvl w:val="2"/>
          <w:numId w:val="13"/>
        </w:numPr>
        <w:spacing w:after="200" w:line="276" w:lineRule="auto"/>
        <w:ind w:firstLineChars="0"/>
        <w:contextualSpacing/>
        <w:rPr>
          <w:rFonts w:cstheme="minorBidi"/>
        </w:rPr>
      </w:pPr>
      <w:r>
        <w:rPr>
          <w:rFonts w:cs="Arial"/>
        </w:rPr>
        <w:t>It</w:t>
      </w:r>
      <w:r>
        <w:rPr>
          <w:rFonts w:cs="Arial"/>
          <w:lang w:val="en-US"/>
        </w:rPr>
        <w:t xml:space="preserve"> will be beneficial to have a NAS-level UE capability to indicate support of 15 EPS bearers.</w:t>
      </w:r>
    </w:p>
    <w:p w14:paraId="39FBFC2C" w14:textId="77777777" w:rsidR="008903FB" w:rsidRDefault="008903FB" w:rsidP="008903FB">
      <w:pPr>
        <w:pStyle w:val="ListParagraph"/>
        <w:numPr>
          <w:ilvl w:val="2"/>
          <w:numId w:val="13"/>
        </w:numPr>
        <w:spacing w:after="200" w:line="276" w:lineRule="auto"/>
        <w:ind w:firstLineChars="0"/>
        <w:contextualSpacing/>
      </w:pPr>
      <w:r>
        <w:rPr>
          <w:rFonts w:cs="Arial"/>
        </w:rPr>
        <w:t>The MME will not reject the TAU request if the UE provides EPS bearer status with active flag for EBI[1-4]</w:t>
      </w:r>
    </w:p>
    <w:p w14:paraId="13060086" w14:textId="77777777" w:rsidR="008903FB" w:rsidRDefault="008903FB" w:rsidP="008903FB">
      <w:pPr>
        <w:pStyle w:val="ListParagraph"/>
        <w:numPr>
          <w:ilvl w:val="0"/>
          <w:numId w:val="13"/>
        </w:numPr>
        <w:spacing w:after="200" w:line="276" w:lineRule="auto"/>
        <w:ind w:firstLineChars="0"/>
        <w:contextualSpacing/>
      </w:pPr>
      <w:r>
        <w:t>CT4</w:t>
      </w:r>
    </w:p>
    <w:p w14:paraId="684ED4AB" w14:textId="77777777" w:rsidR="008903FB" w:rsidRDefault="008903FB" w:rsidP="008903FB">
      <w:pPr>
        <w:pStyle w:val="ListParagraph"/>
        <w:numPr>
          <w:ilvl w:val="1"/>
          <w:numId w:val="13"/>
        </w:numPr>
        <w:spacing w:after="200" w:line="276" w:lineRule="auto"/>
        <w:ind w:firstLineChars="0"/>
        <w:contextualSpacing/>
      </w:pPr>
      <w:r>
        <w:t>LS being drafted by Huawei</w:t>
      </w:r>
    </w:p>
    <w:p w14:paraId="3341829B" w14:textId="77777777" w:rsidR="008903FB" w:rsidRDefault="008903FB" w:rsidP="008903FB">
      <w:pPr>
        <w:pStyle w:val="ListParagraph"/>
        <w:numPr>
          <w:ilvl w:val="2"/>
          <w:numId w:val="13"/>
        </w:numPr>
        <w:spacing w:after="200" w:line="276" w:lineRule="auto"/>
        <w:ind w:firstLineChars="0"/>
        <w:contextualSpacing/>
      </w:pPr>
      <w:r>
        <w:t>Homogeneity is assumed to be a deployment configuration issue</w:t>
      </w:r>
    </w:p>
    <w:p w14:paraId="733C5005" w14:textId="77777777" w:rsidR="008903FB" w:rsidRDefault="008903FB" w:rsidP="008903FB">
      <w:pPr>
        <w:pStyle w:val="ListParagraph"/>
        <w:numPr>
          <w:ilvl w:val="2"/>
          <w:numId w:val="13"/>
        </w:numPr>
        <w:spacing w:after="200" w:line="276" w:lineRule="auto"/>
        <w:ind w:firstLineChars="0"/>
        <w:contextualSpacing/>
      </w:pPr>
      <w:r>
        <w:t>I</w:t>
      </w:r>
      <w:r w:rsidRPr="001058ED">
        <w:t>f an INOBEAR non supporting MME receives an EPS Bearer ID outside the currently defined range (5, 15) during TAU procedure in the Context Response message, then the target MME treats such EPS bearer contexts as errors and does not even consider them as part of the transfer</w:t>
      </w:r>
    </w:p>
    <w:p w14:paraId="6BD6B63E" w14:textId="77777777" w:rsidR="008903FB" w:rsidRDefault="008903FB" w:rsidP="008903FB">
      <w:pPr>
        <w:pStyle w:val="ListParagraph"/>
        <w:numPr>
          <w:ilvl w:val="2"/>
          <w:numId w:val="13"/>
        </w:numPr>
        <w:spacing w:after="200" w:line="276" w:lineRule="auto"/>
        <w:ind w:firstLineChars="0"/>
        <w:contextualSpacing/>
      </w:pPr>
      <w:r w:rsidRPr="001058ED">
        <w:t>During handover procedures, if the target MME is an INOBEAR non supporting MME, and if the target MME receives an EPS Bearer ID outside the currently defined range (5, 15) in the Forward Relocation Request message, then as per clause 7.7.8 of 3GPP TS 29.274, the target MME rejects the Forward Relocation Request with a Cause "Mandatory IE Incorrect" along with details on the Offending IE. However CT4 has not normatively specified how the source MME reacts to “Offending IE”. It is left to implementation. Due to this it is possible that the handover may be rejected by the source MME.</w:t>
      </w:r>
    </w:p>
    <w:p w14:paraId="271A4E0E" w14:textId="77777777" w:rsidR="008903FB" w:rsidRDefault="008903FB" w:rsidP="008903FB">
      <w:pPr>
        <w:pStyle w:val="ListParagraph"/>
        <w:numPr>
          <w:ilvl w:val="1"/>
          <w:numId w:val="13"/>
        </w:numPr>
        <w:spacing w:after="200" w:line="276" w:lineRule="auto"/>
        <w:ind w:firstLineChars="0"/>
        <w:contextualSpacing/>
      </w:pPr>
      <w:r>
        <w:t>CT4 and CT1 need to be aligned on the use of a new IE (see the CT1 draft LS) and then CT4 can respond in a similar way.</w:t>
      </w:r>
    </w:p>
    <w:p w14:paraId="3731275C" w14:textId="77777777" w:rsidR="008903FB" w:rsidRDefault="008903FB" w:rsidP="008903FB">
      <w:pPr>
        <w:pStyle w:val="ListParagraph"/>
        <w:numPr>
          <w:ilvl w:val="0"/>
          <w:numId w:val="13"/>
        </w:numPr>
        <w:spacing w:after="200" w:line="276" w:lineRule="auto"/>
        <w:ind w:firstLineChars="0"/>
        <w:contextualSpacing/>
      </w:pPr>
      <w:r>
        <w:t>RAN2</w:t>
      </w:r>
    </w:p>
    <w:p w14:paraId="73BFB7B4" w14:textId="1B58F1E1" w:rsidR="008903FB" w:rsidRDefault="008903FB" w:rsidP="008903FB">
      <w:pPr>
        <w:pStyle w:val="ListParagraph"/>
        <w:numPr>
          <w:ilvl w:val="1"/>
          <w:numId w:val="13"/>
        </w:numPr>
        <w:spacing w:after="200" w:line="276" w:lineRule="auto"/>
        <w:ind w:firstLineChars="0"/>
        <w:contextualSpacing/>
      </w:pPr>
      <w:r>
        <w:t>LS being drafted by Samsung</w:t>
      </w:r>
    </w:p>
    <w:p w14:paraId="1CF778F1" w14:textId="77777777" w:rsidR="008903FB" w:rsidRDefault="008903FB" w:rsidP="008903FB">
      <w:pPr>
        <w:pStyle w:val="ListParagraph"/>
        <w:numPr>
          <w:ilvl w:val="0"/>
          <w:numId w:val="13"/>
        </w:numPr>
        <w:spacing w:after="200" w:line="276" w:lineRule="auto"/>
        <w:ind w:firstLineChars="0"/>
        <w:contextualSpacing/>
      </w:pPr>
      <w:r>
        <w:t>RAN3</w:t>
      </w:r>
    </w:p>
    <w:p w14:paraId="5CE77577" w14:textId="5465A941" w:rsidR="008903FB" w:rsidRDefault="008903FB" w:rsidP="008903FB">
      <w:pPr>
        <w:pStyle w:val="ListParagraph"/>
        <w:numPr>
          <w:ilvl w:val="1"/>
          <w:numId w:val="13"/>
        </w:numPr>
        <w:spacing w:after="200" w:line="276" w:lineRule="auto"/>
        <w:ind w:firstLineChars="0"/>
        <w:contextualSpacing/>
      </w:pPr>
      <w:r>
        <w:t>Reply LS being drafted by Samsung</w:t>
      </w:r>
    </w:p>
    <w:p w14:paraId="36922DBF" w14:textId="77777777" w:rsidR="008903FB" w:rsidRDefault="008903FB" w:rsidP="008903FB">
      <w:pPr>
        <w:pStyle w:val="ListParagraph"/>
        <w:numPr>
          <w:ilvl w:val="2"/>
          <w:numId w:val="13"/>
        </w:numPr>
        <w:spacing w:after="200" w:line="276" w:lineRule="auto"/>
        <w:ind w:firstLineChars="0"/>
        <w:contextualSpacing/>
      </w:pPr>
      <w:r w:rsidRPr="00A57F4A">
        <w:t xml:space="preserve">SA2 assume that for idle mode mobility and handover procedures from a node supporting 15 EPS bearers to a node that does not, the release of bearers that were allocated EPS Bearer ID values that are not supported before Release 15 can be handled by Stage 3 defined error </w:t>
      </w:r>
      <w:r w:rsidRPr="00A57F4A">
        <w:lastRenderedPageBreak/>
        <w:t>handling mechanisms.</w:t>
      </w:r>
      <w:r>
        <w:t xml:space="preserve"> </w:t>
      </w:r>
      <w:r w:rsidRPr="00A57F4A">
        <w:rPr>
          <w:b/>
        </w:rPr>
        <w:t>RAN3 answer</w:t>
      </w:r>
      <w:r>
        <w:t xml:space="preserve">: </w:t>
      </w:r>
      <w:r w:rsidRPr="00A57F4A">
        <w:t>Current procedures can support these functions. So from RAN3 point, SA2 assumption is fine.</w:t>
      </w:r>
    </w:p>
    <w:p w14:paraId="20F1D839" w14:textId="77777777" w:rsidR="008903FB" w:rsidRDefault="008903FB" w:rsidP="008903FB">
      <w:pPr>
        <w:pStyle w:val="ListParagraph"/>
        <w:numPr>
          <w:ilvl w:val="2"/>
          <w:numId w:val="13"/>
        </w:numPr>
        <w:spacing w:after="200" w:line="276" w:lineRule="auto"/>
        <w:ind w:firstLineChars="0"/>
        <w:contextualSpacing/>
      </w:pPr>
      <w:r w:rsidRPr="008748EC">
        <w:t xml:space="preserve">SA2 ask RAN3 to clarify if current protocol design can support via error handling procedure non-homogeneous environment. </w:t>
      </w:r>
      <w:r>
        <w:t>W</w:t>
      </w:r>
      <w:r w:rsidRPr="00CB7E31">
        <w:t>hether not taking the homogeneous under MME Pool Area/SGW serving area assumption would impact completion of INOBEAR Stage 3 in Release 15</w:t>
      </w:r>
    </w:p>
    <w:p w14:paraId="7900C265" w14:textId="77777777" w:rsidR="008903FB" w:rsidRPr="00693E78" w:rsidRDefault="008903FB" w:rsidP="008903FB">
      <w:pPr>
        <w:pStyle w:val="ListParagraph"/>
        <w:numPr>
          <w:ilvl w:val="3"/>
          <w:numId w:val="13"/>
        </w:numPr>
        <w:spacing w:after="200" w:line="276" w:lineRule="auto"/>
        <w:ind w:firstLineChars="0"/>
        <w:contextualSpacing/>
      </w:pPr>
      <w:r>
        <w:t>Yes, can support, so no, there would be no impact on completion.</w:t>
      </w:r>
    </w:p>
    <w:p w14:paraId="3D1A333D" w14:textId="0CD608E0" w:rsidR="009701D7" w:rsidRPr="008142EF" w:rsidRDefault="009701D7" w:rsidP="009701D7"/>
    <w:sectPr w:rsidR="009701D7" w:rsidRPr="008142EF"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251E7" w14:textId="77777777" w:rsidR="00C85058" w:rsidRDefault="00C85058">
      <w:r>
        <w:separator/>
      </w:r>
    </w:p>
  </w:endnote>
  <w:endnote w:type="continuationSeparator" w:id="0">
    <w:p w14:paraId="07B52E44" w14:textId="77777777" w:rsidR="00C85058" w:rsidRDefault="00C85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84728"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35AEB8B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F18054" w14:textId="77777777" w:rsidR="00D136B2" w:rsidRDefault="00D136B2" w:rsidP="00FB501F">
    <w:pPr>
      <w:tabs>
        <w:tab w:val="left" w:pos="3480"/>
      </w:tabs>
    </w:pPr>
    <w:r>
      <w:tab/>
    </w:r>
  </w:p>
  <w:p w14:paraId="6DD4D84D" w14:textId="77777777" w:rsidR="00D136B2" w:rsidRDefault="00D136B2" w:rsidP="00FB501F">
    <w:pPr>
      <w:pStyle w:val="Footer"/>
    </w:pPr>
  </w:p>
  <w:p w14:paraId="197AEE3F" w14:textId="77777777" w:rsidR="00D136B2" w:rsidRPr="00FB501F" w:rsidRDefault="00D136B2"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5282D" w14:textId="77777777" w:rsidR="00C85058" w:rsidRDefault="00C85058">
      <w:r>
        <w:separator/>
      </w:r>
    </w:p>
  </w:footnote>
  <w:footnote w:type="continuationSeparator" w:id="0">
    <w:p w14:paraId="17B1BCEC" w14:textId="77777777" w:rsidR="00C85058" w:rsidRDefault="00C850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AA542"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182ADFD" w14:textId="3FB4C9DF"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DF76A7">
      <w:rPr>
        <w:rFonts w:ascii="Arial" w:hAnsi="Arial" w:cs="Arial"/>
        <w:b/>
        <w:bCs/>
        <w:sz w:val="18"/>
      </w:rPr>
      <w:fldChar w:fldCharType="begin"/>
    </w:r>
    <w:r>
      <w:rPr>
        <w:rFonts w:ascii="Arial" w:hAnsi="Arial" w:cs="Arial"/>
        <w:b/>
        <w:bCs/>
        <w:sz w:val="18"/>
      </w:rPr>
      <w:instrText xml:space="preserve">page </w:instrText>
    </w:r>
    <w:r w:rsidR="00DF76A7">
      <w:rPr>
        <w:rFonts w:ascii="Arial" w:hAnsi="Arial" w:cs="Arial"/>
        <w:b/>
        <w:bCs/>
        <w:sz w:val="18"/>
      </w:rPr>
      <w:fldChar w:fldCharType="separate"/>
    </w:r>
    <w:r w:rsidR="00E0530D">
      <w:rPr>
        <w:rFonts w:ascii="Arial" w:hAnsi="Arial" w:cs="Arial"/>
        <w:b/>
        <w:bCs/>
        <w:noProof/>
        <w:sz w:val="18"/>
      </w:rPr>
      <w:t>1</w:t>
    </w:r>
    <w:r w:rsidR="00DF76A7">
      <w:rPr>
        <w:rFonts w:ascii="Arial" w:hAnsi="Arial" w:cs="Arial"/>
        <w:b/>
        <w:bCs/>
        <w:sz w:val="18"/>
      </w:rPr>
      <w:fldChar w:fldCharType="end"/>
    </w:r>
  </w:p>
  <w:p w14:paraId="3D59BB05" w14:textId="77777777" w:rsidR="00D136B2" w:rsidRPr="003030FC" w:rsidRDefault="00D136B2" w:rsidP="00FB501F">
    <w:pPr>
      <w:pStyle w:val="Header"/>
    </w:pPr>
  </w:p>
  <w:p w14:paraId="36688F40" w14:textId="77777777" w:rsidR="00D136B2" w:rsidRPr="00FB501F" w:rsidRDefault="00D136B2" w:rsidP="00FB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D76DB"/>
    <w:multiLevelType w:val="hybridMultilevel"/>
    <w:tmpl w:val="2220AB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72466F"/>
    <w:multiLevelType w:val="hybridMultilevel"/>
    <w:tmpl w:val="85CEA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241064"/>
    <w:multiLevelType w:val="hybridMultilevel"/>
    <w:tmpl w:val="E1D8B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076795"/>
    <w:multiLevelType w:val="hybridMultilevel"/>
    <w:tmpl w:val="D1A0738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1E7634"/>
    <w:multiLevelType w:val="hybridMultilevel"/>
    <w:tmpl w:val="D9C27E2E"/>
    <w:lvl w:ilvl="0" w:tplc="8B860AB4">
      <w:start w:val="1"/>
      <w:numFmt w:val="decimal"/>
      <w:lvlText w:val="%1."/>
      <w:lvlJc w:val="left"/>
      <w:pPr>
        <w:ind w:left="1500" w:hanging="1140"/>
      </w:pPr>
      <w:rPr>
        <w:rFonts w:eastAsiaTheme="minorEastAsia"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B451734"/>
    <w:multiLevelType w:val="hybridMultilevel"/>
    <w:tmpl w:val="CC9296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A26740"/>
    <w:multiLevelType w:val="hybridMultilevel"/>
    <w:tmpl w:val="0A64EC58"/>
    <w:lvl w:ilvl="0" w:tplc="8B860AB4">
      <w:start w:val="1"/>
      <w:numFmt w:val="decimal"/>
      <w:lvlText w:val="%1."/>
      <w:lvlJc w:val="left"/>
      <w:pPr>
        <w:ind w:left="1500" w:hanging="1140"/>
      </w:pPr>
      <w:rPr>
        <w:rFonts w:eastAsia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3F3C18"/>
    <w:multiLevelType w:val="hybridMultilevel"/>
    <w:tmpl w:val="5A8AE976"/>
    <w:lvl w:ilvl="0" w:tplc="BC5E1448">
      <w:start w:val="5"/>
      <w:numFmt w:val="bullet"/>
      <w:lvlText w:val=""/>
      <w:lvlJc w:val="left"/>
      <w:pPr>
        <w:ind w:left="1080" w:hanging="7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A170457"/>
    <w:multiLevelType w:val="hybridMultilevel"/>
    <w:tmpl w:val="3AD67F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13"/>
  </w:num>
  <w:num w:numId="6">
    <w:abstractNumId w:val="3"/>
  </w:num>
  <w:num w:numId="7">
    <w:abstractNumId w:val="7"/>
  </w:num>
  <w:num w:numId="8">
    <w:abstractNumId w:val="4"/>
  </w:num>
  <w:num w:numId="9">
    <w:abstractNumId w:val="1"/>
  </w:num>
  <w:num w:numId="10">
    <w:abstractNumId w:val="5"/>
  </w:num>
  <w:num w:numId="11">
    <w:abstractNumId w:val="10"/>
  </w:num>
  <w:num w:numId="12">
    <w:abstractNumId w:val="14"/>
  </w:num>
  <w:num w:numId="13">
    <w:abstractNumId w:val="6"/>
  </w:num>
  <w:num w:numId="14">
    <w:abstractNumId w:val="12"/>
  </w:num>
  <w:num w:numId="15">
    <w:abstractNumId w:val="1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60"/>
    <w:rsid w:val="00002738"/>
    <w:rsid w:val="00003B3D"/>
    <w:rsid w:val="00012331"/>
    <w:rsid w:val="000136D9"/>
    <w:rsid w:val="00022B68"/>
    <w:rsid w:val="000252DC"/>
    <w:rsid w:val="00033397"/>
    <w:rsid w:val="000343FC"/>
    <w:rsid w:val="00036CDB"/>
    <w:rsid w:val="000373FA"/>
    <w:rsid w:val="00040095"/>
    <w:rsid w:val="00041B0F"/>
    <w:rsid w:val="00042F1D"/>
    <w:rsid w:val="0004304F"/>
    <w:rsid w:val="0005041D"/>
    <w:rsid w:val="000507F5"/>
    <w:rsid w:val="00051834"/>
    <w:rsid w:val="000519D4"/>
    <w:rsid w:val="00056548"/>
    <w:rsid w:val="00060664"/>
    <w:rsid w:val="0006154C"/>
    <w:rsid w:val="00061C72"/>
    <w:rsid w:val="000626B2"/>
    <w:rsid w:val="00063F11"/>
    <w:rsid w:val="00064F7F"/>
    <w:rsid w:val="00070F0D"/>
    <w:rsid w:val="00072991"/>
    <w:rsid w:val="00074819"/>
    <w:rsid w:val="00075E21"/>
    <w:rsid w:val="000768B0"/>
    <w:rsid w:val="00080512"/>
    <w:rsid w:val="00083494"/>
    <w:rsid w:val="0008599C"/>
    <w:rsid w:val="00085C18"/>
    <w:rsid w:val="00090CBD"/>
    <w:rsid w:val="00090FD3"/>
    <w:rsid w:val="000961A9"/>
    <w:rsid w:val="00096FE8"/>
    <w:rsid w:val="00097AF6"/>
    <w:rsid w:val="000A6524"/>
    <w:rsid w:val="000B015E"/>
    <w:rsid w:val="000B5ABF"/>
    <w:rsid w:val="000B7BA3"/>
    <w:rsid w:val="000C06E9"/>
    <w:rsid w:val="000C2D8C"/>
    <w:rsid w:val="000C6411"/>
    <w:rsid w:val="000D0BDB"/>
    <w:rsid w:val="000D4DAA"/>
    <w:rsid w:val="000D58AB"/>
    <w:rsid w:val="000E0177"/>
    <w:rsid w:val="000E0CFD"/>
    <w:rsid w:val="000E3762"/>
    <w:rsid w:val="000F10C1"/>
    <w:rsid w:val="000F6AFE"/>
    <w:rsid w:val="000F6FCD"/>
    <w:rsid w:val="00101388"/>
    <w:rsid w:val="00104976"/>
    <w:rsid w:val="00111B5D"/>
    <w:rsid w:val="00112EAB"/>
    <w:rsid w:val="00122506"/>
    <w:rsid w:val="001225BE"/>
    <w:rsid w:val="00126211"/>
    <w:rsid w:val="00130DCC"/>
    <w:rsid w:val="00131683"/>
    <w:rsid w:val="0013295F"/>
    <w:rsid w:val="00140B36"/>
    <w:rsid w:val="001430FD"/>
    <w:rsid w:val="00143B73"/>
    <w:rsid w:val="00150589"/>
    <w:rsid w:val="00151B48"/>
    <w:rsid w:val="00154932"/>
    <w:rsid w:val="00157011"/>
    <w:rsid w:val="00160704"/>
    <w:rsid w:val="00161E08"/>
    <w:rsid w:val="00166A72"/>
    <w:rsid w:val="00170C55"/>
    <w:rsid w:val="00174BC6"/>
    <w:rsid w:val="001819A6"/>
    <w:rsid w:val="0018344A"/>
    <w:rsid w:val="001865A9"/>
    <w:rsid w:val="00187C8A"/>
    <w:rsid w:val="00191475"/>
    <w:rsid w:val="00192289"/>
    <w:rsid w:val="001962D5"/>
    <w:rsid w:val="00196CEB"/>
    <w:rsid w:val="00197298"/>
    <w:rsid w:val="001A455A"/>
    <w:rsid w:val="001A6E3F"/>
    <w:rsid w:val="001B4072"/>
    <w:rsid w:val="001B541E"/>
    <w:rsid w:val="001C0F4B"/>
    <w:rsid w:val="001C462E"/>
    <w:rsid w:val="001C65F7"/>
    <w:rsid w:val="001D1254"/>
    <w:rsid w:val="001D7C06"/>
    <w:rsid w:val="001D7F37"/>
    <w:rsid w:val="001E13D2"/>
    <w:rsid w:val="001E2EA2"/>
    <w:rsid w:val="001E5380"/>
    <w:rsid w:val="001E7C41"/>
    <w:rsid w:val="001F168B"/>
    <w:rsid w:val="001F36FD"/>
    <w:rsid w:val="001F59DE"/>
    <w:rsid w:val="002002EA"/>
    <w:rsid w:val="00202588"/>
    <w:rsid w:val="00206AC3"/>
    <w:rsid w:val="00210B15"/>
    <w:rsid w:val="0021197A"/>
    <w:rsid w:val="00212729"/>
    <w:rsid w:val="00212C6D"/>
    <w:rsid w:val="00215C06"/>
    <w:rsid w:val="0021749C"/>
    <w:rsid w:val="002210E6"/>
    <w:rsid w:val="00222932"/>
    <w:rsid w:val="00223C9B"/>
    <w:rsid w:val="002268C5"/>
    <w:rsid w:val="00226E22"/>
    <w:rsid w:val="00227E11"/>
    <w:rsid w:val="0023023B"/>
    <w:rsid w:val="002347A2"/>
    <w:rsid w:val="002408B0"/>
    <w:rsid w:val="002443DA"/>
    <w:rsid w:val="0025037F"/>
    <w:rsid w:val="002539DE"/>
    <w:rsid w:val="002566E2"/>
    <w:rsid w:val="00256FA6"/>
    <w:rsid w:val="00261D31"/>
    <w:rsid w:val="00263D6A"/>
    <w:rsid w:val="00272E9A"/>
    <w:rsid w:val="00273F9C"/>
    <w:rsid w:val="0028002A"/>
    <w:rsid w:val="0028108C"/>
    <w:rsid w:val="00283771"/>
    <w:rsid w:val="00283ADA"/>
    <w:rsid w:val="00283F28"/>
    <w:rsid w:val="00284625"/>
    <w:rsid w:val="0028465D"/>
    <w:rsid w:val="00285171"/>
    <w:rsid w:val="00286339"/>
    <w:rsid w:val="002872D3"/>
    <w:rsid w:val="00290119"/>
    <w:rsid w:val="0029044C"/>
    <w:rsid w:val="002905BB"/>
    <w:rsid w:val="002929B4"/>
    <w:rsid w:val="00293B2D"/>
    <w:rsid w:val="00293BD9"/>
    <w:rsid w:val="002953D5"/>
    <w:rsid w:val="002A452B"/>
    <w:rsid w:val="002A6B19"/>
    <w:rsid w:val="002A6E1A"/>
    <w:rsid w:val="002B1806"/>
    <w:rsid w:val="002B2235"/>
    <w:rsid w:val="002B2EEA"/>
    <w:rsid w:val="002B319A"/>
    <w:rsid w:val="002B4351"/>
    <w:rsid w:val="002B5168"/>
    <w:rsid w:val="002C098E"/>
    <w:rsid w:val="002C21C8"/>
    <w:rsid w:val="002D12F7"/>
    <w:rsid w:val="002D3DFE"/>
    <w:rsid w:val="002D7C31"/>
    <w:rsid w:val="002E0227"/>
    <w:rsid w:val="002E306C"/>
    <w:rsid w:val="002E5AC9"/>
    <w:rsid w:val="002F0ACE"/>
    <w:rsid w:val="002F2A3F"/>
    <w:rsid w:val="002F6D03"/>
    <w:rsid w:val="002F7861"/>
    <w:rsid w:val="002F7BD5"/>
    <w:rsid w:val="003021E8"/>
    <w:rsid w:val="00310D08"/>
    <w:rsid w:val="00314771"/>
    <w:rsid w:val="003150AA"/>
    <w:rsid w:val="003172DC"/>
    <w:rsid w:val="0032091F"/>
    <w:rsid w:val="0032294B"/>
    <w:rsid w:val="0032637A"/>
    <w:rsid w:val="00326D46"/>
    <w:rsid w:val="003277E0"/>
    <w:rsid w:val="00332222"/>
    <w:rsid w:val="00333487"/>
    <w:rsid w:val="00335429"/>
    <w:rsid w:val="00343827"/>
    <w:rsid w:val="0034530F"/>
    <w:rsid w:val="003460B6"/>
    <w:rsid w:val="003505BF"/>
    <w:rsid w:val="0035088B"/>
    <w:rsid w:val="00350A91"/>
    <w:rsid w:val="003513AC"/>
    <w:rsid w:val="00352E43"/>
    <w:rsid w:val="00353130"/>
    <w:rsid w:val="00353753"/>
    <w:rsid w:val="0035462D"/>
    <w:rsid w:val="00354EE7"/>
    <w:rsid w:val="00356B01"/>
    <w:rsid w:val="00362438"/>
    <w:rsid w:val="00363070"/>
    <w:rsid w:val="00363854"/>
    <w:rsid w:val="003645B6"/>
    <w:rsid w:val="00367BEB"/>
    <w:rsid w:val="003709F6"/>
    <w:rsid w:val="00373208"/>
    <w:rsid w:val="0037342F"/>
    <w:rsid w:val="00374380"/>
    <w:rsid w:val="00375C9A"/>
    <w:rsid w:val="00377C0C"/>
    <w:rsid w:val="003821A7"/>
    <w:rsid w:val="00384D18"/>
    <w:rsid w:val="003861AA"/>
    <w:rsid w:val="00387F32"/>
    <w:rsid w:val="00392478"/>
    <w:rsid w:val="003A08A4"/>
    <w:rsid w:val="003A31B0"/>
    <w:rsid w:val="003A4FBD"/>
    <w:rsid w:val="003B111B"/>
    <w:rsid w:val="003B39E5"/>
    <w:rsid w:val="003B47DF"/>
    <w:rsid w:val="003C105E"/>
    <w:rsid w:val="003C1353"/>
    <w:rsid w:val="003C3971"/>
    <w:rsid w:val="003C4B75"/>
    <w:rsid w:val="003C643D"/>
    <w:rsid w:val="003D0081"/>
    <w:rsid w:val="003D35AC"/>
    <w:rsid w:val="003D3EB0"/>
    <w:rsid w:val="003D44AB"/>
    <w:rsid w:val="003D549F"/>
    <w:rsid w:val="003D70CE"/>
    <w:rsid w:val="003D7AAB"/>
    <w:rsid w:val="003E4184"/>
    <w:rsid w:val="003F00A1"/>
    <w:rsid w:val="003F497F"/>
    <w:rsid w:val="003F4ABB"/>
    <w:rsid w:val="0040104B"/>
    <w:rsid w:val="00403679"/>
    <w:rsid w:val="00404163"/>
    <w:rsid w:val="00404A16"/>
    <w:rsid w:val="00407A2B"/>
    <w:rsid w:val="004107A0"/>
    <w:rsid w:val="00410E8F"/>
    <w:rsid w:val="004133B7"/>
    <w:rsid w:val="00413909"/>
    <w:rsid w:val="00421D7F"/>
    <w:rsid w:val="004238B9"/>
    <w:rsid w:val="00424660"/>
    <w:rsid w:val="00433B3B"/>
    <w:rsid w:val="00435AF4"/>
    <w:rsid w:val="00450F2A"/>
    <w:rsid w:val="00452A27"/>
    <w:rsid w:val="004607DE"/>
    <w:rsid w:val="0046221C"/>
    <w:rsid w:val="00464C08"/>
    <w:rsid w:val="00465A14"/>
    <w:rsid w:val="00467894"/>
    <w:rsid w:val="00471598"/>
    <w:rsid w:val="00472E34"/>
    <w:rsid w:val="00480307"/>
    <w:rsid w:val="00482113"/>
    <w:rsid w:val="004837B4"/>
    <w:rsid w:val="0049103F"/>
    <w:rsid w:val="00494630"/>
    <w:rsid w:val="004951BE"/>
    <w:rsid w:val="00496B24"/>
    <w:rsid w:val="00497607"/>
    <w:rsid w:val="004A384A"/>
    <w:rsid w:val="004B04A9"/>
    <w:rsid w:val="004B0B13"/>
    <w:rsid w:val="004B1978"/>
    <w:rsid w:val="004B40B1"/>
    <w:rsid w:val="004B5ACC"/>
    <w:rsid w:val="004C4B33"/>
    <w:rsid w:val="004C63F9"/>
    <w:rsid w:val="004C6EAE"/>
    <w:rsid w:val="004D3578"/>
    <w:rsid w:val="004E0F42"/>
    <w:rsid w:val="004E1427"/>
    <w:rsid w:val="004E1DD7"/>
    <w:rsid w:val="004E213A"/>
    <w:rsid w:val="004E2E8E"/>
    <w:rsid w:val="005014EF"/>
    <w:rsid w:val="00502937"/>
    <w:rsid w:val="00506E0F"/>
    <w:rsid w:val="00511EA1"/>
    <w:rsid w:val="005138FF"/>
    <w:rsid w:val="00514848"/>
    <w:rsid w:val="00515326"/>
    <w:rsid w:val="00517DFB"/>
    <w:rsid w:val="0052023C"/>
    <w:rsid w:val="005226CC"/>
    <w:rsid w:val="00522AEC"/>
    <w:rsid w:val="005242A5"/>
    <w:rsid w:val="005270A3"/>
    <w:rsid w:val="0053129E"/>
    <w:rsid w:val="005321DF"/>
    <w:rsid w:val="005323D3"/>
    <w:rsid w:val="00533C5B"/>
    <w:rsid w:val="00535112"/>
    <w:rsid w:val="005372EE"/>
    <w:rsid w:val="005379E6"/>
    <w:rsid w:val="00540613"/>
    <w:rsid w:val="00543E6C"/>
    <w:rsid w:val="00546373"/>
    <w:rsid w:val="00546A72"/>
    <w:rsid w:val="00561D21"/>
    <w:rsid w:val="00563E1B"/>
    <w:rsid w:val="00565087"/>
    <w:rsid w:val="00565450"/>
    <w:rsid w:val="005657C7"/>
    <w:rsid w:val="00565BBB"/>
    <w:rsid w:val="00565F90"/>
    <w:rsid w:val="005719A8"/>
    <w:rsid w:val="00575B15"/>
    <w:rsid w:val="00575D8F"/>
    <w:rsid w:val="0058139F"/>
    <w:rsid w:val="0058490F"/>
    <w:rsid w:val="00584E87"/>
    <w:rsid w:val="0058632D"/>
    <w:rsid w:val="00586D69"/>
    <w:rsid w:val="00587DFD"/>
    <w:rsid w:val="005A385B"/>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D09DC"/>
    <w:rsid w:val="005D1D3C"/>
    <w:rsid w:val="005D2E01"/>
    <w:rsid w:val="005D514D"/>
    <w:rsid w:val="005D536B"/>
    <w:rsid w:val="005E4E17"/>
    <w:rsid w:val="005E5DC2"/>
    <w:rsid w:val="005E605F"/>
    <w:rsid w:val="005E720F"/>
    <w:rsid w:val="005F60EA"/>
    <w:rsid w:val="00600704"/>
    <w:rsid w:val="00601A2A"/>
    <w:rsid w:val="00603D55"/>
    <w:rsid w:val="00606164"/>
    <w:rsid w:val="00611740"/>
    <w:rsid w:val="00611BA2"/>
    <w:rsid w:val="00614849"/>
    <w:rsid w:val="00614FDF"/>
    <w:rsid w:val="00615B32"/>
    <w:rsid w:val="00616BF6"/>
    <w:rsid w:val="00624D9E"/>
    <w:rsid w:val="006326D9"/>
    <w:rsid w:val="00637099"/>
    <w:rsid w:val="00640BE1"/>
    <w:rsid w:val="0064204D"/>
    <w:rsid w:val="006421FA"/>
    <w:rsid w:val="006440B3"/>
    <w:rsid w:val="006465A4"/>
    <w:rsid w:val="00651364"/>
    <w:rsid w:val="006536BB"/>
    <w:rsid w:val="006550F6"/>
    <w:rsid w:val="00656FE7"/>
    <w:rsid w:val="00664B4D"/>
    <w:rsid w:val="006679A2"/>
    <w:rsid w:val="00671C15"/>
    <w:rsid w:val="00673807"/>
    <w:rsid w:val="006755DB"/>
    <w:rsid w:val="006815A2"/>
    <w:rsid w:val="00683394"/>
    <w:rsid w:val="006834C3"/>
    <w:rsid w:val="00687E49"/>
    <w:rsid w:val="00691962"/>
    <w:rsid w:val="00693D92"/>
    <w:rsid w:val="0069556A"/>
    <w:rsid w:val="00696985"/>
    <w:rsid w:val="006A0715"/>
    <w:rsid w:val="006A16E0"/>
    <w:rsid w:val="006A7B1A"/>
    <w:rsid w:val="006B263E"/>
    <w:rsid w:val="006B26CE"/>
    <w:rsid w:val="006B3226"/>
    <w:rsid w:val="006B4010"/>
    <w:rsid w:val="006B45DA"/>
    <w:rsid w:val="006B69C8"/>
    <w:rsid w:val="006C0823"/>
    <w:rsid w:val="006C0E07"/>
    <w:rsid w:val="006C59BC"/>
    <w:rsid w:val="006C5DBE"/>
    <w:rsid w:val="006D111D"/>
    <w:rsid w:val="006D2B77"/>
    <w:rsid w:val="006D36D5"/>
    <w:rsid w:val="006D42D3"/>
    <w:rsid w:val="006D79DD"/>
    <w:rsid w:val="006E0E07"/>
    <w:rsid w:val="006E299E"/>
    <w:rsid w:val="006E5C69"/>
    <w:rsid w:val="006E6479"/>
    <w:rsid w:val="006E6D8C"/>
    <w:rsid w:val="006F484A"/>
    <w:rsid w:val="006F4C1A"/>
    <w:rsid w:val="006F4E92"/>
    <w:rsid w:val="006F7841"/>
    <w:rsid w:val="00701C8B"/>
    <w:rsid w:val="00711EAA"/>
    <w:rsid w:val="0071335F"/>
    <w:rsid w:val="00713D46"/>
    <w:rsid w:val="007145E6"/>
    <w:rsid w:val="00715207"/>
    <w:rsid w:val="00715B77"/>
    <w:rsid w:val="00720454"/>
    <w:rsid w:val="00721820"/>
    <w:rsid w:val="00725EC1"/>
    <w:rsid w:val="007306F2"/>
    <w:rsid w:val="00732A4B"/>
    <w:rsid w:val="00734A5B"/>
    <w:rsid w:val="00744781"/>
    <w:rsid w:val="00744E76"/>
    <w:rsid w:val="00752F39"/>
    <w:rsid w:val="00753559"/>
    <w:rsid w:val="0075485D"/>
    <w:rsid w:val="00755FCC"/>
    <w:rsid w:val="00764379"/>
    <w:rsid w:val="00767B73"/>
    <w:rsid w:val="00770324"/>
    <w:rsid w:val="00773C41"/>
    <w:rsid w:val="00777D7A"/>
    <w:rsid w:val="00780E31"/>
    <w:rsid w:val="00781F0F"/>
    <w:rsid w:val="007828E3"/>
    <w:rsid w:val="007929F6"/>
    <w:rsid w:val="007933CC"/>
    <w:rsid w:val="00795464"/>
    <w:rsid w:val="007A0082"/>
    <w:rsid w:val="007A44FF"/>
    <w:rsid w:val="007A5232"/>
    <w:rsid w:val="007A624A"/>
    <w:rsid w:val="007B21D6"/>
    <w:rsid w:val="007B44AA"/>
    <w:rsid w:val="007B6214"/>
    <w:rsid w:val="007C22D0"/>
    <w:rsid w:val="007C3D1F"/>
    <w:rsid w:val="007D194D"/>
    <w:rsid w:val="007D21A2"/>
    <w:rsid w:val="007D3ABB"/>
    <w:rsid w:val="007E041E"/>
    <w:rsid w:val="007E0E91"/>
    <w:rsid w:val="007E13DD"/>
    <w:rsid w:val="007E340B"/>
    <w:rsid w:val="007E5089"/>
    <w:rsid w:val="007E5E56"/>
    <w:rsid w:val="007F1C8A"/>
    <w:rsid w:val="007F2058"/>
    <w:rsid w:val="007F5D0F"/>
    <w:rsid w:val="008028A4"/>
    <w:rsid w:val="00803617"/>
    <w:rsid w:val="008037A5"/>
    <w:rsid w:val="0080464B"/>
    <w:rsid w:val="00804EA4"/>
    <w:rsid w:val="00806374"/>
    <w:rsid w:val="00810DCD"/>
    <w:rsid w:val="00812D2E"/>
    <w:rsid w:val="008142EF"/>
    <w:rsid w:val="00814D69"/>
    <w:rsid w:val="00815677"/>
    <w:rsid w:val="00822055"/>
    <w:rsid w:val="00822D25"/>
    <w:rsid w:val="0082473C"/>
    <w:rsid w:val="00825A02"/>
    <w:rsid w:val="00831E59"/>
    <w:rsid w:val="0083212D"/>
    <w:rsid w:val="00837A55"/>
    <w:rsid w:val="008405A4"/>
    <w:rsid w:val="008426B8"/>
    <w:rsid w:val="00843D0D"/>
    <w:rsid w:val="008441A5"/>
    <w:rsid w:val="0084636C"/>
    <w:rsid w:val="008477F9"/>
    <w:rsid w:val="00864641"/>
    <w:rsid w:val="008647EB"/>
    <w:rsid w:val="00865034"/>
    <w:rsid w:val="008658AE"/>
    <w:rsid w:val="00870947"/>
    <w:rsid w:val="00872DE4"/>
    <w:rsid w:val="00873116"/>
    <w:rsid w:val="00874FF1"/>
    <w:rsid w:val="00875EC4"/>
    <w:rsid w:val="008768CA"/>
    <w:rsid w:val="00885B4C"/>
    <w:rsid w:val="0088736C"/>
    <w:rsid w:val="008903FB"/>
    <w:rsid w:val="0089158F"/>
    <w:rsid w:val="008952D4"/>
    <w:rsid w:val="00895408"/>
    <w:rsid w:val="008955A8"/>
    <w:rsid w:val="008A308A"/>
    <w:rsid w:val="008A56CB"/>
    <w:rsid w:val="008B51AE"/>
    <w:rsid w:val="008B5856"/>
    <w:rsid w:val="008B5963"/>
    <w:rsid w:val="008C487B"/>
    <w:rsid w:val="008D0BCE"/>
    <w:rsid w:val="008D4F1F"/>
    <w:rsid w:val="008E14AE"/>
    <w:rsid w:val="008E51BE"/>
    <w:rsid w:val="008E5F56"/>
    <w:rsid w:val="008F5749"/>
    <w:rsid w:val="008F7F2C"/>
    <w:rsid w:val="009021F1"/>
    <w:rsid w:val="0090271F"/>
    <w:rsid w:val="00902E23"/>
    <w:rsid w:val="0090300C"/>
    <w:rsid w:val="00903C21"/>
    <w:rsid w:val="00904AE1"/>
    <w:rsid w:val="00905136"/>
    <w:rsid w:val="0091276C"/>
    <w:rsid w:val="00920B36"/>
    <w:rsid w:val="00921CB5"/>
    <w:rsid w:val="00922FA4"/>
    <w:rsid w:val="009241F7"/>
    <w:rsid w:val="00925C98"/>
    <w:rsid w:val="009271F9"/>
    <w:rsid w:val="00931312"/>
    <w:rsid w:val="00932811"/>
    <w:rsid w:val="00933277"/>
    <w:rsid w:val="009338CD"/>
    <w:rsid w:val="009365DD"/>
    <w:rsid w:val="009379C7"/>
    <w:rsid w:val="00942EC2"/>
    <w:rsid w:val="00944ED1"/>
    <w:rsid w:val="00945BAF"/>
    <w:rsid w:val="0094603C"/>
    <w:rsid w:val="009508E6"/>
    <w:rsid w:val="00952978"/>
    <w:rsid w:val="0095545F"/>
    <w:rsid w:val="009617A3"/>
    <w:rsid w:val="00962001"/>
    <w:rsid w:val="00963934"/>
    <w:rsid w:val="00963DC6"/>
    <w:rsid w:val="009655EE"/>
    <w:rsid w:val="00965BD6"/>
    <w:rsid w:val="009701D7"/>
    <w:rsid w:val="00973DFC"/>
    <w:rsid w:val="00977405"/>
    <w:rsid w:val="009803D9"/>
    <w:rsid w:val="00981478"/>
    <w:rsid w:val="00982BAD"/>
    <w:rsid w:val="00984146"/>
    <w:rsid w:val="00985797"/>
    <w:rsid w:val="009867E4"/>
    <w:rsid w:val="009876A4"/>
    <w:rsid w:val="00987944"/>
    <w:rsid w:val="0099066A"/>
    <w:rsid w:val="0099076F"/>
    <w:rsid w:val="0099220E"/>
    <w:rsid w:val="009960AD"/>
    <w:rsid w:val="009A3136"/>
    <w:rsid w:val="009B21A6"/>
    <w:rsid w:val="009B6F99"/>
    <w:rsid w:val="009B7A40"/>
    <w:rsid w:val="009B7DAD"/>
    <w:rsid w:val="009C21A8"/>
    <w:rsid w:val="009C5C4B"/>
    <w:rsid w:val="009D75D8"/>
    <w:rsid w:val="009D76DA"/>
    <w:rsid w:val="009E4680"/>
    <w:rsid w:val="009F1C4E"/>
    <w:rsid w:val="009F2895"/>
    <w:rsid w:val="009F37B7"/>
    <w:rsid w:val="009F58AF"/>
    <w:rsid w:val="00A019C8"/>
    <w:rsid w:val="00A03164"/>
    <w:rsid w:val="00A07D44"/>
    <w:rsid w:val="00A10F02"/>
    <w:rsid w:val="00A12D44"/>
    <w:rsid w:val="00A164B4"/>
    <w:rsid w:val="00A17522"/>
    <w:rsid w:val="00A217EC"/>
    <w:rsid w:val="00A2268A"/>
    <w:rsid w:val="00A26C43"/>
    <w:rsid w:val="00A317B4"/>
    <w:rsid w:val="00A31EB7"/>
    <w:rsid w:val="00A37263"/>
    <w:rsid w:val="00A37EC5"/>
    <w:rsid w:val="00A4158B"/>
    <w:rsid w:val="00A4341F"/>
    <w:rsid w:val="00A50171"/>
    <w:rsid w:val="00A53724"/>
    <w:rsid w:val="00A5373A"/>
    <w:rsid w:val="00A5392C"/>
    <w:rsid w:val="00A605F8"/>
    <w:rsid w:val="00A629D8"/>
    <w:rsid w:val="00A66590"/>
    <w:rsid w:val="00A7079E"/>
    <w:rsid w:val="00A71FF9"/>
    <w:rsid w:val="00A73384"/>
    <w:rsid w:val="00A738CF"/>
    <w:rsid w:val="00A7399F"/>
    <w:rsid w:val="00A755CD"/>
    <w:rsid w:val="00A7649A"/>
    <w:rsid w:val="00A77A95"/>
    <w:rsid w:val="00A807B5"/>
    <w:rsid w:val="00A81435"/>
    <w:rsid w:val="00A82346"/>
    <w:rsid w:val="00A82413"/>
    <w:rsid w:val="00A83A6C"/>
    <w:rsid w:val="00A84AD0"/>
    <w:rsid w:val="00A94F94"/>
    <w:rsid w:val="00A95CA1"/>
    <w:rsid w:val="00A966B3"/>
    <w:rsid w:val="00AA1177"/>
    <w:rsid w:val="00AA1D4F"/>
    <w:rsid w:val="00AA2C3C"/>
    <w:rsid w:val="00AA52D9"/>
    <w:rsid w:val="00AA7092"/>
    <w:rsid w:val="00AB1EF7"/>
    <w:rsid w:val="00AC11ED"/>
    <w:rsid w:val="00AC1B17"/>
    <w:rsid w:val="00AC203A"/>
    <w:rsid w:val="00AD04EC"/>
    <w:rsid w:val="00AD28FC"/>
    <w:rsid w:val="00AD3C51"/>
    <w:rsid w:val="00AD43EF"/>
    <w:rsid w:val="00AD479B"/>
    <w:rsid w:val="00AD5E83"/>
    <w:rsid w:val="00AD5F21"/>
    <w:rsid w:val="00AD68C3"/>
    <w:rsid w:val="00AD6D38"/>
    <w:rsid w:val="00AD719D"/>
    <w:rsid w:val="00AE1A1D"/>
    <w:rsid w:val="00AE4D2D"/>
    <w:rsid w:val="00AE5C01"/>
    <w:rsid w:val="00AF064E"/>
    <w:rsid w:val="00AF5890"/>
    <w:rsid w:val="00AF646F"/>
    <w:rsid w:val="00B00F86"/>
    <w:rsid w:val="00B01AB4"/>
    <w:rsid w:val="00B028A5"/>
    <w:rsid w:val="00B03C96"/>
    <w:rsid w:val="00B04143"/>
    <w:rsid w:val="00B04AEB"/>
    <w:rsid w:val="00B04D5A"/>
    <w:rsid w:val="00B051FA"/>
    <w:rsid w:val="00B05D55"/>
    <w:rsid w:val="00B07316"/>
    <w:rsid w:val="00B121B4"/>
    <w:rsid w:val="00B12268"/>
    <w:rsid w:val="00B13416"/>
    <w:rsid w:val="00B15449"/>
    <w:rsid w:val="00B16E64"/>
    <w:rsid w:val="00B21745"/>
    <w:rsid w:val="00B247B4"/>
    <w:rsid w:val="00B2757E"/>
    <w:rsid w:val="00B33B02"/>
    <w:rsid w:val="00B33B55"/>
    <w:rsid w:val="00B371A3"/>
    <w:rsid w:val="00B410C4"/>
    <w:rsid w:val="00B4392F"/>
    <w:rsid w:val="00B459F4"/>
    <w:rsid w:val="00B54DF6"/>
    <w:rsid w:val="00B60648"/>
    <w:rsid w:val="00B6249F"/>
    <w:rsid w:val="00B63EFB"/>
    <w:rsid w:val="00B660B0"/>
    <w:rsid w:val="00B667E5"/>
    <w:rsid w:val="00B66D15"/>
    <w:rsid w:val="00B727A2"/>
    <w:rsid w:val="00B75C03"/>
    <w:rsid w:val="00B8036F"/>
    <w:rsid w:val="00B814FC"/>
    <w:rsid w:val="00B82B6A"/>
    <w:rsid w:val="00B8754F"/>
    <w:rsid w:val="00B87DE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7536"/>
    <w:rsid w:val="00BD76D6"/>
    <w:rsid w:val="00BE259A"/>
    <w:rsid w:val="00BE57D2"/>
    <w:rsid w:val="00BE604B"/>
    <w:rsid w:val="00BF2F59"/>
    <w:rsid w:val="00BF68E2"/>
    <w:rsid w:val="00BF7496"/>
    <w:rsid w:val="00C07F9C"/>
    <w:rsid w:val="00C14531"/>
    <w:rsid w:val="00C14D5A"/>
    <w:rsid w:val="00C1503E"/>
    <w:rsid w:val="00C17ADB"/>
    <w:rsid w:val="00C24415"/>
    <w:rsid w:val="00C258FA"/>
    <w:rsid w:val="00C33079"/>
    <w:rsid w:val="00C3430B"/>
    <w:rsid w:val="00C37DDC"/>
    <w:rsid w:val="00C458E8"/>
    <w:rsid w:val="00C5161D"/>
    <w:rsid w:val="00C522E7"/>
    <w:rsid w:val="00C563B9"/>
    <w:rsid w:val="00C568FE"/>
    <w:rsid w:val="00C56FF6"/>
    <w:rsid w:val="00C63B05"/>
    <w:rsid w:val="00C63BCE"/>
    <w:rsid w:val="00C659CF"/>
    <w:rsid w:val="00C72175"/>
    <w:rsid w:val="00C72833"/>
    <w:rsid w:val="00C75231"/>
    <w:rsid w:val="00C756BD"/>
    <w:rsid w:val="00C8084B"/>
    <w:rsid w:val="00C80FF5"/>
    <w:rsid w:val="00C8295C"/>
    <w:rsid w:val="00C8383F"/>
    <w:rsid w:val="00C83D42"/>
    <w:rsid w:val="00C84481"/>
    <w:rsid w:val="00C85058"/>
    <w:rsid w:val="00C859BE"/>
    <w:rsid w:val="00C871BB"/>
    <w:rsid w:val="00C91AAF"/>
    <w:rsid w:val="00C92434"/>
    <w:rsid w:val="00C92D5A"/>
    <w:rsid w:val="00C93F40"/>
    <w:rsid w:val="00CA0226"/>
    <w:rsid w:val="00CA10C8"/>
    <w:rsid w:val="00CA3445"/>
    <w:rsid w:val="00CA3D0C"/>
    <w:rsid w:val="00CA414D"/>
    <w:rsid w:val="00CA5786"/>
    <w:rsid w:val="00CA6D54"/>
    <w:rsid w:val="00CB0EE5"/>
    <w:rsid w:val="00CB49E8"/>
    <w:rsid w:val="00CB7B2B"/>
    <w:rsid w:val="00CC0D04"/>
    <w:rsid w:val="00CC5692"/>
    <w:rsid w:val="00CC5E1A"/>
    <w:rsid w:val="00CD17D9"/>
    <w:rsid w:val="00CD4265"/>
    <w:rsid w:val="00CD4A59"/>
    <w:rsid w:val="00CE0842"/>
    <w:rsid w:val="00CE0FDD"/>
    <w:rsid w:val="00CE3545"/>
    <w:rsid w:val="00CE5275"/>
    <w:rsid w:val="00CF2CA8"/>
    <w:rsid w:val="00D04158"/>
    <w:rsid w:val="00D05505"/>
    <w:rsid w:val="00D07799"/>
    <w:rsid w:val="00D13121"/>
    <w:rsid w:val="00D136B2"/>
    <w:rsid w:val="00D140B4"/>
    <w:rsid w:val="00D151CD"/>
    <w:rsid w:val="00D15870"/>
    <w:rsid w:val="00D20232"/>
    <w:rsid w:val="00D227A3"/>
    <w:rsid w:val="00D22A75"/>
    <w:rsid w:val="00D230AF"/>
    <w:rsid w:val="00D231D9"/>
    <w:rsid w:val="00D24E60"/>
    <w:rsid w:val="00D417FD"/>
    <w:rsid w:val="00D42D93"/>
    <w:rsid w:val="00D47527"/>
    <w:rsid w:val="00D5250A"/>
    <w:rsid w:val="00D53208"/>
    <w:rsid w:val="00D55F88"/>
    <w:rsid w:val="00D61312"/>
    <w:rsid w:val="00D66515"/>
    <w:rsid w:val="00D7107F"/>
    <w:rsid w:val="00D738D6"/>
    <w:rsid w:val="00D755EB"/>
    <w:rsid w:val="00D76DB3"/>
    <w:rsid w:val="00D8091D"/>
    <w:rsid w:val="00D86FEA"/>
    <w:rsid w:val="00D87E00"/>
    <w:rsid w:val="00D9134D"/>
    <w:rsid w:val="00D92EE9"/>
    <w:rsid w:val="00D960C9"/>
    <w:rsid w:val="00D964D1"/>
    <w:rsid w:val="00D9664F"/>
    <w:rsid w:val="00D978D9"/>
    <w:rsid w:val="00DA0151"/>
    <w:rsid w:val="00DA50E9"/>
    <w:rsid w:val="00DA7A03"/>
    <w:rsid w:val="00DA7E49"/>
    <w:rsid w:val="00DB0AED"/>
    <w:rsid w:val="00DB1818"/>
    <w:rsid w:val="00DB32A0"/>
    <w:rsid w:val="00DB38E6"/>
    <w:rsid w:val="00DB4727"/>
    <w:rsid w:val="00DC2705"/>
    <w:rsid w:val="00DC309B"/>
    <w:rsid w:val="00DC4DA2"/>
    <w:rsid w:val="00DC5E03"/>
    <w:rsid w:val="00DC695E"/>
    <w:rsid w:val="00DD16FA"/>
    <w:rsid w:val="00DD1702"/>
    <w:rsid w:val="00DD30AF"/>
    <w:rsid w:val="00DD3311"/>
    <w:rsid w:val="00DD4068"/>
    <w:rsid w:val="00DD6633"/>
    <w:rsid w:val="00DD78E5"/>
    <w:rsid w:val="00DD7A73"/>
    <w:rsid w:val="00DE15F2"/>
    <w:rsid w:val="00DE3A02"/>
    <w:rsid w:val="00DE6808"/>
    <w:rsid w:val="00DE6F87"/>
    <w:rsid w:val="00DF24A2"/>
    <w:rsid w:val="00DF2B1F"/>
    <w:rsid w:val="00DF3040"/>
    <w:rsid w:val="00DF47CE"/>
    <w:rsid w:val="00DF4A35"/>
    <w:rsid w:val="00DF6082"/>
    <w:rsid w:val="00DF62CD"/>
    <w:rsid w:val="00DF76A7"/>
    <w:rsid w:val="00E0102F"/>
    <w:rsid w:val="00E0530D"/>
    <w:rsid w:val="00E05EC9"/>
    <w:rsid w:val="00E05FB9"/>
    <w:rsid w:val="00E0799B"/>
    <w:rsid w:val="00E24B02"/>
    <w:rsid w:val="00E2628A"/>
    <w:rsid w:val="00E3161D"/>
    <w:rsid w:val="00E317E1"/>
    <w:rsid w:val="00E319E6"/>
    <w:rsid w:val="00E36285"/>
    <w:rsid w:val="00E37A94"/>
    <w:rsid w:val="00E44406"/>
    <w:rsid w:val="00E50D85"/>
    <w:rsid w:val="00E51209"/>
    <w:rsid w:val="00E51264"/>
    <w:rsid w:val="00E57210"/>
    <w:rsid w:val="00E60BD7"/>
    <w:rsid w:val="00E66A2D"/>
    <w:rsid w:val="00E70039"/>
    <w:rsid w:val="00E7136C"/>
    <w:rsid w:val="00E74A52"/>
    <w:rsid w:val="00E769EB"/>
    <w:rsid w:val="00E77645"/>
    <w:rsid w:val="00E80B7D"/>
    <w:rsid w:val="00E81E80"/>
    <w:rsid w:val="00E8225D"/>
    <w:rsid w:val="00E82DC6"/>
    <w:rsid w:val="00E853AF"/>
    <w:rsid w:val="00E868E1"/>
    <w:rsid w:val="00E92932"/>
    <w:rsid w:val="00E953CF"/>
    <w:rsid w:val="00E95C6B"/>
    <w:rsid w:val="00EA5AD8"/>
    <w:rsid w:val="00EA5F60"/>
    <w:rsid w:val="00EA72C5"/>
    <w:rsid w:val="00EB02C8"/>
    <w:rsid w:val="00EB65AF"/>
    <w:rsid w:val="00EB6F25"/>
    <w:rsid w:val="00EB6F94"/>
    <w:rsid w:val="00EC4A25"/>
    <w:rsid w:val="00EC6019"/>
    <w:rsid w:val="00EC6B3C"/>
    <w:rsid w:val="00EC7A60"/>
    <w:rsid w:val="00ED29B6"/>
    <w:rsid w:val="00ED5D55"/>
    <w:rsid w:val="00ED7C58"/>
    <w:rsid w:val="00EE09AF"/>
    <w:rsid w:val="00EE41EC"/>
    <w:rsid w:val="00EE651E"/>
    <w:rsid w:val="00EF03B6"/>
    <w:rsid w:val="00EF4087"/>
    <w:rsid w:val="00EF6582"/>
    <w:rsid w:val="00F00678"/>
    <w:rsid w:val="00F01A8E"/>
    <w:rsid w:val="00F025A2"/>
    <w:rsid w:val="00F027E5"/>
    <w:rsid w:val="00F02C0D"/>
    <w:rsid w:val="00F04712"/>
    <w:rsid w:val="00F12188"/>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6035B"/>
    <w:rsid w:val="00F60828"/>
    <w:rsid w:val="00F62083"/>
    <w:rsid w:val="00F653B8"/>
    <w:rsid w:val="00F66666"/>
    <w:rsid w:val="00F853C7"/>
    <w:rsid w:val="00F86530"/>
    <w:rsid w:val="00F90292"/>
    <w:rsid w:val="00F903DD"/>
    <w:rsid w:val="00F907FE"/>
    <w:rsid w:val="00F91950"/>
    <w:rsid w:val="00F930D2"/>
    <w:rsid w:val="00F931E7"/>
    <w:rsid w:val="00F94B68"/>
    <w:rsid w:val="00F96887"/>
    <w:rsid w:val="00FA1266"/>
    <w:rsid w:val="00FB0A85"/>
    <w:rsid w:val="00FB218B"/>
    <w:rsid w:val="00FB392D"/>
    <w:rsid w:val="00FB4D78"/>
    <w:rsid w:val="00FB501F"/>
    <w:rsid w:val="00FC0363"/>
    <w:rsid w:val="00FC1192"/>
    <w:rsid w:val="00FC2924"/>
    <w:rsid w:val="00FC3ABC"/>
    <w:rsid w:val="00FC63A9"/>
    <w:rsid w:val="00FC6C38"/>
    <w:rsid w:val="00FC7564"/>
    <w:rsid w:val="00FD2565"/>
    <w:rsid w:val="00FD3EED"/>
    <w:rsid w:val="00FD6B37"/>
    <w:rsid w:val="00FE1D77"/>
    <w:rsid w:val="00FE3E62"/>
    <w:rsid w:val="00FE6751"/>
    <w:rsid w:val="00FE68E5"/>
    <w:rsid w:val="00FE7DC9"/>
    <w:rsid w:val="00FF16A5"/>
    <w:rsid w:val="00FF295C"/>
    <w:rsid w:val="00FF2B48"/>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EDB87D"/>
  <w15:docId w15:val="{7DE8154D-FC90-4A8F-997F-076E3DFC7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uiPriority w:val="99"/>
    <w:rsid w:val="00FF2C65"/>
    <w:rPr>
      <w:sz w:val="16"/>
      <w:szCs w:val="16"/>
    </w:rPr>
  </w:style>
  <w:style w:type="paragraph" w:styleId="CommentText">
    <w:name w:val="annotation text"/>
    <w:basedOn w:val="Normal"/>
    <w:link w:val="CommentTextChar"/>
    <w:uiPriority w:val="99"/>
    <w:rsid w:val="00FF2C65"/>
  </w:style>
  <w:style w:type="character" w:customStyle="1" w:styleId="CommentTextChar">
    <w:name w:val="Comment Text Char"/>
    <w:link w:val="CommentText"/>
    <w:uiPriority w:val="99"/>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basedOn w:val="Normal"/>
    <w:next w:val="Normal"/>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paragraph" w:customStyle="1" w:styleId="CRCoverPage">
    <w:name w:val="CR Cover Page"/>
    <w:rsid w:val="005719A8"/>
    <w:pPr>
      <w:spacing w:after="120"/>
    </w:pPr>
    <w:rPr>
      <w:rFonts w:ascii="Arial" w:eastAsia="SimSun" w:hAnsi="Arial"/>
      <w:lang w:val="en-GB" w:eastAsia="en-US"/>
    </w:rPr>
  </w:style>
  <w:style w:type="table" w:styleId="TableGrid">
    <w:name w:val="Table Grid"/>
    <w:basedOn w:val="TableNormal"/>
    <w:uiPriority w:val="39"/>
    <w:rsid w:val="003277E0"/>
    <w:rPr>
      <w:rFonts w:asciiTheme="minorHAnsi" w:eastAsiaTheme="minorEastAsia"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579484762">
      <w:bodyDiv w:val="1"/>
      <w:marLeft w:val="0"/>
      <w:marRight w:val="0"/>
      <w:marTop w:val="0"/>
      <w:marBottom w:val="0"/>
      <w:divBdr>
        <w:top w:val="none" w:sz="0" w:space="0" w:color="auto"/>
        <w:left w:val="none" w:sz="0" w:space="0" w:color="auto"/>
        <w:bottom w:val="none" w:sz="0" w:space="0" w:color="auto"/>
        <w:right w:val="none" w:sz="0" w:space="0" w:color="auto"/>
      </w:divBdr>
    </w:div>
    <w:div w:id="983585374">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 w:id="1580212656">
      <w:bodyDiv w:val="1"/>
      <w:marLeft w:val="0"/>
      <w:marRight w:val="0"/>
      <w:marTop w:val="0"/>
      <w:marBottom w:val="0"/>
      <w:divBdr>
        <w:top w:val="none" w:sz="0" w:space="0" w:color="auto"/>
        <w:left w:val="none" w:sz="0" w:space="0" w:color="auto"/>
        <w:bottom w:val="none" w:sz="0" w:space="0" w:color="auto"/>
        <w:right w:val="none" w:sz="0" w:space="0" w:color="auto"/>
      </w:divBdr>
    </w:div>
    <w:div w:id="164877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55B9D-30CF-45B5-850E-8FB21ED75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1357</Words>
  <Characters>7737</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9076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Bennett</cp:lastModifiedBy>
  <cp:revision>2</cp:revision>
  <dcterms:created xsi:type="dcterms:W3CDTF">2018-04-10T10:47:00Z</dcterms:created>
  <dcterms:modified xsi:type="dcterms:W3CDTF">2018-04-10T10:47:00Z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C65B283140E02EE109A94BD8B6C27373F19DA1CBDB2CF537F1D92358300A037B</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1515651190</vt:lpwstr>
  </property>
  <property fmtid="{D5CDD505-2E9C-101B-9397-08002B2CF9AE}" pid="6"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7"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8" name="NSCPROP_SA">
    <vt:lpwstr>C:\Users\a.bennett\AppData\Local\Temp\Temp1_S2-181517.zip\S2-181517_Discussion on use cases of mobility management optimization.docx</vt:lpwstr>
  </property>
</Properties>
</file>